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8A147" w14:textId="2AABBE35" w:rsidR="000D5005" w:rsidRPr="00753A51" w:rsidRDefault="00C54142" w:rsidP="000D5005">
      <w:pPr>
        <w:pStyle w:val="Title"/>
        <w:tabs>
          <w:tab w:val="left" w:pos="5760"/>
        </w:tabs>
        <w:rPr>
          <w:rStyle w:val="Heading1Char"/>
          <w:rFonts w:cs="Times New Roman"/>
          <w:b/>
          <w:bCs/>
        </w:rPr>
      </w:pPr>
      <w:r w:rsidRPr="00C54142">
        <w:rPr>
          <w:rFonts w:ascii="Myriad Pro" w:eastAsia="Aptos" w:hAnsi="Myriad Pro" w:cs="Arial"/>
          <w:b w:val="0"/>
          <w:bCs w:val="0"/>
          <w:noProof/>
          <w:kern w:val="2"/>
          <w:sz w:val="24"/>
          <w14:ligatures w14:val="standardContextual"/>
        </w:rPr>
        <w:drawing>
          <wp:anchor distT="0" distB="0" distL="114300" distR="114300" simplePos="0" relativeHeight="251663360" behindDoc="0" locked="0" layoutInCell="1" allowOverlap="1" wp14:anchorId="481B08D2" wp14:editId="4EB9C350">
            <wp:simplePos x="0" y="0"/>
            <wp:positionH relativeFrom="column">
              <wp:posOffset>2711450</wp:posOffset>
            </wp:positionH>
            <wp:positionV relativeFrom="paragraph">
              <wp:posOffset>485775</wp:posOffset>
            </wp:positionV>
            <wp:extent cx="431800" cy="492760"/>
            <wp:effectExtent l="0" t="0" r="6350" b="2540"/>
            <wp:wrapSquare wrapText="bothSides"/>
            <wp:docPr id="12269737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73736"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431800" cy="492760"/>
                    </a:xfrm>
                    <a:prstGeom prst="rect">
                      <a:avLst/>
                    </a:prstGeom>
                  </pic:spPr>
                </pic:pic>
              </a:graphicData>
            </a:graphic>
            <wp14:sizeRelH relativeFrom="margin">
              <wp14:pctWidth>0</wp14:pctWidth>
            </wp14:sizeRelH>
            <wp14:sizeRelV relativeFrom="margin">
              <wp14:pctHeight>0</wp14:pctHeight>
            </wp14:sizeRelV>
          </wp:anchor>
        </w:drawing>
      </w:r>
      <w:r w:rsidR="0005206B" w:rsidRPr="0005206B">
        <w:rPr>
          <w:rFonts w:ascii="Myriad Pro" w:eastAsia="Aptos" w:hAnsi="Myriad Pro" w:cs="Arial"/>
          <w:b w:val="0"/>
          <w:bCs w:val="0"/>
          <w:noProof/>
          <w:kern w:val="2"/>
          <w:sz w:val="24"/>
          <w:lang w:eastAsia="en-GB"/>
          <w14:ligatures w14:val="standardContextual"/>
        </w:rPr>
        <w:drawing>
          <wp:anchor distT="0" distB="0" distL="114300" distR="114300" simplePos="0" relativeHeight="251659264" behindDoc="0" locked="0" layoutInCell="1" allowOverlap="1" wp14:anchorId="0C78B50A" wp14:editId="3E5E57F0">
            <wp:simplePos x="0" y="0"/>
            <wp:positionH relativeFrom="column">
              <wp:posOffset>5410200</wp:posOffset>
            </wp:positionH>
            <wp:positionV relativeFrom="paragraph">
              <wp:posOffset>410845</wp:posOffset>
            </wp:positionV>
            <wp:extent cx="501650" cy="680085"/>
            <wp:effectExtent l="0" t="0" r="0" b="5715"/>
            <wp:wrapSquare wrapText="bothSides"/>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l="8746" t="14790" r="11662" b="13419"/>
                    <a:stretch>
                      <a:fillRect/>
                    </a:stretch>
                  </pic:blipFill>
                  <pic:spPr bwMode="auto">
                    <a:xfrm>
                      <a:off x="0" y="0"/>
                      <a:ext cx="501650" cy="680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6422" w:rsidRPr="00753A51">
        <w:rPr>
          <w:color w:val="000000"/>
          <w:shd w:val="clear" w:color="auto" w:fill="FFFFFF"/>
        </w:rPr>
        <w:br/>
      </w:r>
    </w:p>
    <w:p w14:paraId="74C75E42" w14:textId="1AAAEF51" w:rsidR="005B6422" w:rsidRPr="00753A51" w:rsidRDefault="000D5005" w:rsidP="005B6422">
      <w:pPr>
        <w:pStyle w:val="Title"/>
        <w:tabs>
          <w:tab w:val="left" w:pos="5760"/>
        </w:tabs>
        <w:rPr>
          <w:rStyle w:val="Heading1Char"/>
          <w:rFonts w:asciiTheme="minorHAnsi" w:hAnsiTheme="minorHAnsi" w:cstheme="minorHAnsi"/>
          <w:b/>
          <w:sz w:val="22"/>
          <w:szCs w:val="22"/>
        </w:rPr>
      </w:pPr>
      <w:bookmarkStart w:id="0" w:name="_Toc529800919"/>
      <w:bookmarkStart w:id="1" w:name="_Toc18528790"/>
      <w:r w:rsidRPr="000D5005">
        <w:rPr>
          <w:rFonts w:ascii="Myriad Pro" w:eastAsia="Aptos" w:hAnsi="Myriad Pro" w:cs="Arial"/>
          <w:b w:val="0"/>
          <w:bCs w:val="0"/>
          <w:noProof/>
          <w:kern w:val="2"/>
          <w:sz w:val="24"/>
          <w14:ligatures w14:val="standardContextual"/>
        </w:rPr>
        <w:drawing>
          <wp:anchor distT="0" distB="0" distL="114300" distR="114300" simplePos="0" relativeHeight="251661312" behindDoc="1" locked="0" layoutInCell="1" allowOverlap="1" wp14:anchorId="6A76B4A9" wp14:editId="27B5CF04">
            <wp:simplePos x="0" y="0"/>
            <wp:positionH relativeFrom="column">
              <wp:posOffset>0</wp:posOffset>
            </wp:positionH>
            <wp:positionV relativeFrom="paragraph">
              <wp:posOffset>-635</wp:posOffset>
            </wp:positionV>
            <wp:extent cx="1517650" cy="536575"/>
            <wp:effectExtent l="0" t="0" r="6350" b="0"/>
            <wp:wrapNone/>
            <wp:docPr id="1856347136" name="Picture 1" descr="A logo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47136" name="Picture 1" descr="A logo with red 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17650" cy="536575"/>
                    </a:xfrm>
                    <a:prstGeom prst="rect">
                      <a:avLst/>
                    </a:prstGeom>
                  </pic:spPr>
                </pic:pic>
              </a:graphicData>
            </a:graphic>
            <wp14:sizeRelH relativeFrom="margin">
              <wp14:pctWidth>0</wp14:pctWidth>
            </wp14:sizeRelH>
            <wp14:sizeRelV relativeFrom="margin">
              <wp14:pctHeight>0</wp14:pctHeight>
            </wp14:sizeRelV>
          </wp:anchor>
        </w:drawing>
      </w:r>
    </w:p>
    <w:p w14:paraId="5C5C0ABF" w14:textId="68BE6CE2" w:rsidR="005B6422" w:rsidRPr="00753A51" w:rsidRDefault="005B6422" w:rsidP="005B6422">
      <w:pPr>
        <w:jc w:val="center"/>
        <w:rPr>
          <w:rFonts w:asciiTheme="minorHAnsi" w:hAnsiTheme="minorHAnsi" w:cstheme="minorHAnsi"/>
          <w:b/>
          <w:bCs/>
          <w:sz w:val="22"/>
          <w:szCs w:val="22"/>
        </w:rPr>
      </w:pPr>
      <w:bookmarkStart w:id="2" w:name="_Toc39098519"/>
      <w:bookmarkStart w:id="3" w:name="_Toc39104959"/>
      <w:bookmarkStart w:id="4" w:name="_Toc48852639"/>
      <w:bookmarkStart w:id="5" w:name="_Toc66210450"/>
      <w:bookmarkStart w:id="6" w:name="_Toc66210578"/>
      <w:bookmarkStart w:id="7" w:name="_Toc66668684"/>
      <w:bookmarkStart w:id="8" w:name="_Toc66670484"/>
      <w:bookmarkStart w:id="9" w:name="_Toc66732731"/>
    </w:p>
    <w:p w14:paraId="52153945" w14:textId="77777777" w:rsidR="005B6422" w:rsidRPr="00753A51" w:rsidRDefault="005B6422" w:rsidP="005B6422">
      <w:pPr>
        <w:jc w:val="center"/>
        <w:rPr>
          <w:rFonts w:asciiTheme="minorHAnsi" w:hAnsiTheme="minorHAnsi" w:cstheme="minorHAnsi"/>
          <w:b/>
          <w:bCs/>
          <w:sz w:val="22"/>
          <w:szCs w:val="22"/>
        </w:rPr>
      </w:pPr>
    </w:p>
    <w:p w14:paraId="1342FDE3" w14:textId="77777777" w:rsidR="005B6422" w:rsidRPr="00753A51" w:rsidRDefault="005B6422" w:rsidP="005B6422">
      <w:pPr>
        <w:jc w:val="center"/>
        <w:rPr>
          <w:rFonts w:asciiTheme="minorHAnsi" w:hAnsiTheme="minorHAnsi" w:cstheme="minorHAnsi"/>
          <w:b/>
          <w:bCs/>
          <w:sz w:val="22"/>
          <w:szCs w:val="22"/>
        </w:rPr>
      </w:pPr>
    </w:p>
    <w:p w14:paraId="0C129D93" w14:textId="77777777" w:rsidR="005B6422" w:rsidRPr="00753A51" w:rsidRDefault="005B6422" w:rsidP="005B6422">
      <w:pPr>
        <w:jc w:val="center"/>
        <w:rPr>
          <w:rFonts w:asciiTheme="minorHAnsi" w:hAnsiTheme="minorHAnsi" w:cstheme="minorHAnsi"/>
          <w:b/>
          <w:bCs/>
          <w:sz w:val="22"/>
          <w:szCs w:val="22"/>
        </w:rPr>
      </w:pPr>
    </w:p>
    <w:p w14:paraId="4133B50B" w14:textId="77777777" w:rsidR="005B6422" w:rsidRPr="00753A51" w:rsidRDefault="005B6422" w:rsidP="005B6422">
      <w:pPr>
        <w:jc w:val="center"/>
        <w:rPr>
          <w:rFonts w:asciiTheme="minorHAnsi" w:hAnsiTheme="minorHAnsi" w:cstheme="minorHAnsi"/>
          <w:b/>
          <w:bCs/>
          <w:sz w:val="22"/>
          <w:szCs w:val="22"/>
        </w:rPr>
      </w:pPr>
    </w:p>
    <w:p w14:paraId="667678B5" w14:textId="77777777" w:rsidR="00A2273A" w:rsidRDefault="00A2273A" w:rsidP="005B6422">
      <w:pPr>
        <w:jc w:val="center"/>
        <w:rPr>
          <w:rFonts w:asciiTheme="minorHAnsi" w:hAnsiTheme="minorHAnsi" w:cstheme="minorHAnsi"/>
          <w:b/>
          <w:bCs/>
          <w:sz w:val="22"/>
          <w:szCs w:val="22"/>
        </w:rPr>
      </w:pPr>
    </w:p>
    <w:p w14:paraId="06C51CFF" w14:textId="77777777" w:rsidR="00A2273A" w:rsidRDefault="00A2273A" w:rsidP="005B6422">
      <w:pPr>
        <w:jc w:val="center"/>
        <w:rPr>
          <w:rFonts w:asciiTheme="minorHAnsi" w:hAnsiTheme="minorHAnsi" w:cstheme="minorHAnsi"/>
          <w:b/>
          <w:bCs/>
          <w:sz w:val="22"/>
          <w:szCs w:val="22"/>
        </w:rPr>
      </w:pPr>
    </w:p>
    <w:p w14:paraId="43038781" w14:textId="77777777" w:rsidR="00A2273A" w:rsidRDefault="00A2273A" w:rsidP="005B6422">
      <w:pPr>
        <w:jc w:val="center"/>
        <w:rPr>
          <w:rFonts w:asciiTheme="minorHAnsi" w:hAnsiTheme="minorHAnsi" w:cstheme="minorHAnsi"/>
          <w:b/>
          <w:bCs/>
          <w:sz w:val="22"/>
          <w:szCs w:val="22"/>
        </w:rPr>
      </w:pPr>
    </w:p>
    <w:p w14:paraId="2E058119" w14:textId="77777777" w:rsidR="00A2273A" w:rsidRDefault="00A2273A" w:rsidP="005B6422">
      <w:pPr>
        <w:jc w:val="center"/>
        <w:rPr>
          <w:rFonts w:asciiTheme="minorHAnsi" w:hAnsiTheme="minorHAnsi" w:cstheme="minorHAnsi"/>
          <w:b/>
          <w:bCs/>
          <w:sz w:val="22"/>
          <w:szCs w:val="22"/>
        </w:rPr>
      </w:pPr>
    </w:p>
    <w:p w14:paraId="107C5F14" w14:textId="77777777" w:rsidR="00A2273A" w:rsidRDefault="00A2273A" w:rsidP="005B6422">
      <w:pPr>
        <w:jc w:val="center"/>
        <w:rPr>
          <w:rFonts w:asciiTheme="minorHAnsi" w:hAnsiTheme="minorHAnsi" w:cstheme="minorHAnsi"/>
          <w:b/>
          <w:bCs/>
          <w:sz w:val="22"/>
          <w:szCs w:val="22"/>
        </w:rPr>
      </w:pPr>
    </w:p>
    <w:p w14:paraId="5F57FCE7" w14:textId="77777777" w:rsidR="00A2273A" w:rsidRDefault="00A2273A" w:rsidP="005B6422">
      <w:pPr>
        <w:jc w:val="center"/>
        <w:rPr>
          <w:rFonts w:asciiTheme="minorHAnsi" w:hAnsiTheme="minorHAnsi" w:cstheme="minorHAnsi"/>
          <w:b/>
          <w:bCs/>
          <w:sz w:val="22"/>
          <w:szCs w:val="22"/>
        </w:rPr>
      </w:pPr>
    </w:p>
    <w:p w14:paraId="3859CCDC" w14:textId="77777777" w:rsidR="00A2273A" w:rsidRDefault="00A2273A" w:rsidP="005B6422">
      <w:pPr>
        <w:jc w:val="center"/>
        <w:rPr>
          <w:rFonts w:asciiTheme="minorHAnsi" w:hAnsiTheme="minorHAnsi" w:cstheme="minorHAnsi"/>
          <w:b/>
          <w:bCs/>
          <w:sz w:val="22"/>
          <w:szCs w:val="22"/>
        </w:rPr>
      </w:pPr>
    </w:p>
    <w:p w14:paraId="7EA4CEEB" w14:textId="05E701CE" w:rsidR="005B6422" w:rsidRPr="00C02C94" w:rsidRDefault="00CF133F" w:rsidP="005B6422">
      <w:pPr>
        <w:pStyle w:val="Title"/>
        <w:tabs>
          <w:tab w:val="left" w:pos="5760"/>
        </w:tabs>
        <w:rPr>
          <w:rFonts w:asciiTheme="minorHAnsi" w:hAnsiTheme="minorHAnsi" w:cstheme="minorHAnsi"/>
          <w:sz w:val="36"/>
          <w:szCs w:val="36"/>
        </w:rPr>
      </w:pPr>
      <w:r w:rsidRPr="00C02C94">
        <w:rPr>
          <w:rFonts w:asciiTheme="minorHAnsi" w:hAnsiTheme="minorHAnsi" w:cstheme="minorHAnsi"/>
          <w:sz w:val="36"/>
          <w:szCs w:val="36"/>
        </w:rPr>
        <w:t>Bridges of Trust – Improving social cohesion and resilience in Bosnia and Herzegovina</w:t>
      </w:r>
      <w:bookmarkEnd w:id="0"/>
      <w:bookmarkEnd w:id="1"/>
      <w:bookmarkEnd w:id="2"/>
      <w:bookmarkEnd w:id="3"/>
      <w:bookmarkEnd w:id="4"/>
      <w:bookmarkEnd w:id="5"/>
      <w:bookmarkEnd w:id="6"/>
      <w:bookmarkEnd w:id="7"/>
      <w:bookmarkEnd w:id="8"/>
      <w:bookmarkEnd w:id="9"/>
    </w:p>
    <w:p w14:paraId="11C57BAB" w14:textId="77777777" w:rsidR="00C02C94" w:rsidRPr="00C02C94" w:rsidRDefault="00C02C94" w:rsidP="005B6422">
      <w:pPr>
        <w:pStyle w:val="Title"/>
        <w:tabs>
          <w:tab w:val="left" w:pos="5760"/>
        </w:tabs>
        <w:rPr>
          <w:rFonts w:asciiTheme="minorHAnsi" w:hAnsiTheme="minorHAnsi" w:cstheme="minorHAnsi"/>
          <w:sz w:val="36"/>
          <w:szCs w:val="36"/>
        </w:rPr>
      </w:pPr>
    </w:p>
    <w:p w14:paraId="12DEF378" w14:textId="0251A8CD" w:rsidR="00507E95" w:rsidRPr="00C02C94" w:rsidRDefault="00507E95" w:rsidP="005B6422">
      <w:pPr>
        <w:pStyle w:val="Title"/>
        <w:tabs>
          <w:tab w:val="left" w:pos="5760"/>
        </w:tabs>
        <w:rPr>
          <w:rFonts w:asciiTheme="minorHAnsi" w:hAnsiTheme="minorHAnsi" w:cstheme="minorHAnsi"/>
          <w:bCs w:val="0"/>
          <w:kern w:val="32"/>
          <w:sz w:val="36"/>
          <w:szCs w:val="36"/>
        </w:rPr>
      </w:pPr>
      <w:r w:rsidRPr="00C02C94">
        <w:rPr>
          <w:rFonts w:asciiTheme="minorHAnsi" w:hAnsiTheme="minorHAnsi" w:cstheme="minorHAnsi"/>
          <w:sz w:val="36"/>
          <w:szCs w:val="36"/>
        </w:rPr>
        <w:t>SCORE PROJECT</w:t>
      </w:r>
    </w:p>
    <w:p w14:paraId="285B7CB3" w14:textId="77777777" w:rsidR="00C02C94" w:rsidRPr="00C02C94" w:rsidRDefault="00C02C94" w:rsidP="005B6422">
      <w:pPr>
        <w:jc w:val="center"/>
        <w:rPr>
          <w:rFonts w:asciiTheme="minorHAnsi" w:hAnsiTheme="minorHAnsi" w:cstheme="minorHAnsi"/>
          <w:b/>
          <w:bCs/>
          <w:sz w:val="36"/>
          <w:szCs w:val="36"/>
        </w:rPr>
      </w:pPr>
      <w:bookmarkStart w:id="10" w:name="_Toc48852642"/>
      <w:bookmarkStart w:id="11" w:name="_Toc66210452"/>
      <w:bookmarkStart w:id="12" w:name="_Toc66210580"/>
      <w:bookmarkStart w:id="13" w:name="_Toc66668686"/>
      <w:bookmarkStart w:id="14" w:name="_Toc66670486"/>
      <w:bookmarkStart w:id="15" w:name="_Toc66732733"/>
    </w:p>
    <w:p w14:paraId="13A30D47" w14:textId="2FCB612B" w:rsidR="005B6422" w:rsidRPr="00C02C94" w:rsidRDefault="00163624" w:rsidP="005B6422">
      <w:pPr>
        <w:jc w:val="center"/>
        <w:rPr>
          <w:rFonts w:asciiTheme="minorHAnsi" w:hAnsiTheme="minorHAnsi" w:cstheme="minorHAnsi"/>
          <w:b/>
          <w:bCs/>
          <w:sz w:val="36"/>
          <w:szCs w:val="36"/>
        </w:rPr>
      </w:pPr>
      <w:r w:rsidRPr="00C02C94">
        <w:rPr>
          <w:rFonts w:asciiTheme="minorHAnsi" w:hAnsiTheme="minorHAnsi" w:cstheme="minorHAnsi"/>
          <w:b/>
          <w:bCs/>
          <w:sz w:val="36"/>
          <w:szCs w:val="36"/>
        </w:rPr>
        <w:t xml:space="preserve">2025 ANNUAL </w:t>
      </w:r>
      <w:r w:rsidR="005B6422" w:rsidRPr="00C02C94">
        <w:rPr>
          <w:rFonts w:asciiTheme="minorHAnsi" w:hAnsiTheme="minorHAnsi" w:cstheme="minorHAnsi"/>
          <w:b/>
          <w:bCs/>
          <w:sz w:val="36"/>
          <w:szCs w:val="36"/>
        </w:rPr>
        <w:t>REPORT</w:t>
      </w:r>
      <w:bookmarkEnd w:id="10"/>
      <w:bookmarkEnd w:id="11"/>
      <w:bookmarkEnd w:id="12"/>
      <w:bookmarkEnd w:id="13"/>
      <w:bookmarkEnd w:id="14"/>
      <w:bookmarkEnd w:id="15"/>
    </w:p>
    <w:p w14:paraId="6875F499" w14:textId="77777777" w:rsidR="005B6422" w:rsidRPr="00753A51" w:rsidRDefault="005B6422" w:rsidP="005B6422">
      <w:pPr>
        <w:spacing w:after="160" w:line="259" w:lineRule="auto"/>
        <w:jc w:val="center"/>
        <w:rPr>
          <w:rFonts w:asciiTheme="minorHAnsi" w:hAnsiTheme="minorHAnsi" w:cstheme="minorHAnsi"/>
          <w:sz w:val="22"/>
          <w:szCs w:val="22"/>
        </w:rPr>
      </w:pPr>
    </w:p>
    <w:p w14:paraId="103580B4" w14:textId="77777777" w:rsidR="005B6422" w:rsidRPr="00753A51" w:rsidRDefault="005B6422" w:rsidP="005B6422">
      <w:pPr>
        <w:spacing w:after="160" w:line="259" w:lineRule="auto"/>
        <w:jc w:val="center"/>
        <w:rPr>
          <w:rFonts w:asciiTheme="minorHAnsi" w:hAnsiTheme="minorHAnsi" w:cstheme="minorHAnsi"/>
          <w:sz w:val="22"/>
          <w:szCs w:val="22"/>
        </w:rPr>
      </w:pPr>
    </w:p>
    <w:p w14:paraId="6F973B2D" w14:textId="77777777" w:rsidR="005B6422" w:rsidRPr="00753A51" w:rsidRDefault="005B6422" w:rsidP="005B6422">
      <w:pPr>
        <w:spacing w:after="160" w:line="259" w:lineRule="auto"/>
        <w:ind w:firstLine="420"/>
        <w:jc w:val="center"/>
        <w:rPr>
          <w:rFonts w:asciiTheme="minorHAnsi" w:hAnsiTheme="minorHAnsi" w:cstheme="minorHAnsi"/>
          <w:sz w:val="22"/>
          <w:szCs w:val="22"/>
        </w:rPr>
      </w:pPr>
    </w:p>
    <w:p w14:paraId="17C6199F" w14:textId="77777777" w:rsidR="005B6422" w:rsidRPr="00753A51" w:rsidRDefault="005B6422" w:rsidP="005B6422">
      <w:pPr>
        <w:spacing w:after="160" w:line="259" w:lineRule="auto"/>
        <w:ind w:right="96" w:firstLine="136"/>
        <w:jc w:val="center"/>
        <w:rPr>
          <w:rFonts w:asciiTheme="minorHAnsi" w:hAnsiTheme="minorHAnsi" w:cstheme="minorHAnsi"/>
          <w:noProof/>
          <w:sz w:val="22"/>
          <w:szCs w:val="22"/>
        </w:rPr>
      </w:pPr>
      <w:r w:rsidRPr="00753A51">
        <w:rPr>
          <w:rFonts w:asciiTheme="minorHAnsi" w:hAnsiTheme="minorHAnsi" w:cstheme="minorHAnsi"/>
          <w:noProof/>
        </w:rPr>
        <w:tab/>
      </w:r>
    </w:p>
    <w:p w14:paraId="25D1AE5F" w14:textId="77777777" w:rsidR="005B6422" w:rsidRPr="00753A51" w:rsidRDefault="005B6422" w:rsidP="005B6422">
      <w:pPr>
        <w:spacing w:after="160" w:line="259" w:lineRule="auto"/>
        <w:jc w:val="center"/>
        <w:rPr>
          <w:rFonts w:asciiTheme="minorHAnsi" w:hAnsiTheme="minorHAnsi" w:cstheme="minorHAnsi"/>
          <w:b/>
          <w:sz w:val="22"/>
          <w:szCs w:val="22"/>
        </w:rPr>
      </w:pPr>
      <w:r w:rsidRPr="00753A51">
        <w:rPr>
          <w:rFonts w:asciiTheme="minorHAnsi" w:hAnsiTheme="minorHAnsi" w:cstheme="minorHAnsi"/>
          <w:b/>
          <w:noProof/>
          <w:sz w:val="22"/>
          <w:szCs w:val="22"/>
        </w:rPr>
        <w:tab/>
      </w:r>
      <w:r w:rsidRPr="00753A51">
        <w:rPr>
          <w:rFonts w:asciiTheme="minorHAnsi" w:hAnsiTheme="minorHAnsi" w:cstheme="minorHAnsi"/>
          <w:b/>
          <w:sz w:val="22"/>
          <w:szCs w:val="22"/>
        </w:rPr>
        <w:br w:type="page"/>
      </w:r>
      <w:r w:rsidRPr="00753A51">
        <w:rPr>
          <w:rFonts w:asciiTheme="minorHAnsi" w:hAnsiTheme="minorHAnsi" w:cstheme="minorHAnsi"/>
          <w:b/>
          <w:sz w:val="22"/>
          <w:szCs w:val="22"/>
        </w:rPr>
        <w:lastRenderedPageBreak/>
        <w:t>TABLE OF CONTENTS</w:t>
      </w:r>
    </w:p>
    <w:p w14:paraId="0CDACA51" w14:textId="026C4D35" w:rsidR="00C02C94" w:rsidRDefault="005B6422" w:rsidP="00C02C94">
      <w:pPr>
        <w:pStyle w:val="TOC1"/>
        <w:rPr>
          <w:rFonts w:eastAsiaTheme="minorEastAsia" w:cstheme="minorBidi"/>
          <w:spacing w:val="0"/>
          <w:lang w:val="en-US"/>
        </w:rPr>
      </w:pPr>
      <w:r w:rsidRPr="00C02C94">
        <w:rPr>
          <w:highlight w:val="yellow"/>
        </w:rPr>
        <w:fldChar w:fldCharType="begin"/>
      </w:r>
      <w:r w:rsidRPr="00C02C94">
        <w:rPr>
          <w:highlight w:val="green"/>
        </w:rPr>
        <w:instrText xml:space="preserve"> TOC \o "1-3" \h \z \u </w:instrText>
      </w:r>
      <w:r w:rsidRPr="00C02C94">
        <w:rPr>
          <w:highlight w:val="yellow"/>
        </w:rPr>
        <w:fldChar w:fldCharType="separate"/>
      </w:r>
      <w:hyperlink w:anchor="_Toc225409783" w:history="1">
        <w:r w:rsidR="00C02C94" w:rsidRPr="004975E8">
          <w:rPr>
            <w:rStyle w:val="Hyperlink"/>
          </w:rPr>
          <w:t>list of Abbreviations</w:t>
        </w:r>
        <w:r w:rsidR="00C02C94">
          <w:rPr>
            <w:webHidden/>
          </w:rPr>
          <w:tab/>
        </w:r>
        <w:r w:rsidR="00C02C94">
          <w:rPr>
            <w:webHidden/>
          </w:rPr>
          <w:fldChar w:fldCharType="begin"/>
        </w:r>
        <w:r w:rsidR="00C02C94">
          <w:rPr>
            <w:webHidden/>
          </w:rPr>
          <w:instrText xml:space="preserve"> PAGEREF _Toc225409783 \h </w:instrText>
        </w:r>
        <w:r w:rsidR="00C02C94">
          <w:rPr>
            <w:webHidden/>
          </w:rPr>
        </w:r>
        <w:r w:rsidR="00C02C94">
          <w:rPr>
            <w:webHidden/>
          </w:rPr>
          <w:fldChar w:fldCharType="separate"/>
        </w:r>
        <w:r w:rsidR="00C02C94">
          <w:rPr>
            <w:webHidden/>
          </w:rPr>
          <w:t>3</w:t>
        </w:r>
        <w:r w:rsidR="00C02C94">
          <w:rPr>
            <w:webHidden/>
          </w:rPr>
          <w:fldChar w:fldCharType="end"/>
        </w:r>
      </w:hyperlink>
    </w:p>
    <w:p w14:paraId="40904BC9" w14:textId="00ECDCE0" w:rsidR="00C02C94" w:rsidRDefault="00C02C94" w:rsidP="00C02C94">
      <w:pPr>
        <w:pStyle w:val="TOC1"/>
        <w:rPr>
          <w:rFonts w:eastAsiaTheme="minorEastAsia" w:cstheme="minorBidi"/>
          <w:spacing w:val="0"/>
          <w:lang w:val="en-US"/>
        </w:rPr>
      </w:pPr>
      <w:hyperlink w:anchor="_Toc225409784" w:history="1">
        <w:r w:rsidRPr="004975E8">
          <w:rPr>
            <w:rStyle w:val="Hyperlink"/>
          </w:rPr>
          <w:t>BASIC INFORMATION</w:t>
        </w:r>
        <w:r>
          <w:rPr>
            <w:webHidden/>
          </w:rPr>
          <w:tab/>
        </w:r>
        <w:r>
          <w:rPr>
            <w:webHidden/>
          </w:rPr>
          <w:fldChar w:fldCharType="begin"/>
        </w:r>
        <w:r>
          <w:rPr>
            <w:webHidden/>
          </w:rPr>
          <w:instrText xml:space="preserve"> PAGEREF _Toc225409784 \h </w:instrText>
        </w:r>
        <w:r>
          <w:rPr>
            <w:webHidden/>
          </w:rPr>
        </w:r>
        <w:r>
          <w:rPr>
            <w:webHidden/>
          </w:rPr>
          <w:fldChar w:fldCharType="separate"/>
        </w:r>
        <w:r>
          <w:rPr>
            <w:webHidden/>
          </w:rPr>
          <w:t>4</w:t>
        </w:r>
        <w:r>
          <w:rPr>
            <w:webHidden/>
          </w:rPr>
          <w:fldChar w:fldCharType="end"/>
        </w:r>
      </w:hyperlink>
    </w:p>
    <w:p w14:paraId="7AB826FF" w14:textId="782291CB" w:rsidR="00C02C94" w:rsidRDefault="00C02C94" w:rsidP="00C02C94">
      <w:pPr>
        <w:pStyle w:val="TOC1"/>
        <w:rPr>
          <w:rFonts w:eastAsiaTheme="minorEastAsia" w:cstheme="minorBidi"/>
          <w:spacing w:val="0"/>
          <w:lang w:val="en-US"/>
        </w:rPr>
      </w:pPr>
      <w:hyperlink w:anchor="_Toc225409785" w:history="1">
        <w:r w:rsidRPr="004975E8">
          <w:rPr>
            <w:rStyle w:val="Hyperlink"/>
          </w:rPr>
          <w:t>Strategic Review and Outlook</w:t>
        </w:r>
        <w:r>
          <w:rPr>
            <w:webHidden/>
          </w:rPr>
          <w:tab/>
        </w:r>
        <w:r>
          <w:rPr>
            <w:webHidden/>
          </w:rPr>
          <w:fldChar w:fldCharType="begin"/>
        </w:r>
        <w:r>
          <w:rPr>
            <w:webHidden/>
          </w:rPr>
          <w:instrText xml:space="preserve"> PAGEREF _Toc225409785 \h </w:instrText>
        </w:r>
        <w:r>
          <w:rPr>
            <w:webHidden/>
          </w:rPr>
        </w:r>
        <w:r>
          <w:rPr>
            <w:webHidden/>
          </w:rPr>
          <w:fldChar w:fldCharType="separate"/>
        </w:r>
        <w:r>
          <w:rPr>
            <w:webHidden/>
          </w:rPr>
          <w:t>4</w:t>
        </w:r>
        <w:r>
          <w:rPr>
            <w:webHidden/>
          </w:rPr>
          <w:fldChar w:fldCharType="end"/>
        </w:r>
      </w:hyperlink>
    </w:p>
    <w:p w14:paraId="05BD01B2" w14:textId="54C658A8" w:rsidR="00C02C94" w:rsidRDefault="00C02C94" w:rsidP="00C02C94">
      <w:pPr>
        <w:pStyle w:val="TOC1"/>
        <w:rPr>
          <w:rFonts w:eastAsiaTheme="minorEastAsia" w:cstheme="minorBidi"/>
          <w:spacing w:val="0"/>
          <w:lang w:val="en-US"/>
        </w:rPr>
      </w:pPr>
      <w:hyperlink w:anchor="_Toc225409786" w:history="1">
        <w:r w:rsidRPr="004975E8">
          <w:rPr>
            <w:rStyle w:val="Hyperlink"/>
          </w:rPr>
          <w:t>Chapter 1 - Stakeholder Engagement</w:t>
        </w:r>
        <w:r>
          <w:rPr>
            <w:webHidden/>
          </w:rPr>
          <w:tab/>
        </w:r>
        <w:r>
          <w:rPr>
            <w:webHidden/>
          </w:rPr>
          <w:fldChar w:fldCharType="begin"/>
        </w:r>
        <w:r>
          <w:rPr>
            <w:webHidden/>
          </w:rPr>
          <w:instrText xml:space="preserve"> PAGEREF _Toc225409786 \h </w:instrText>
        </w:r>
        <w:r>
          <w:rPr>
            <w:webHidden/>
          </w:rPr>
        </w:r>
        <w:r>
          <w:rPr>
            <w:webHidden/>
          </w:rPr>
          <w:fldChar w:fldCharType="separate"/>
        </w:r>
        <w:r>
          <w:rPr>
            <w:webHidden/>
          </w:rPr>
          <w:t>5</w:t>
        </w:r>
        <w:r>
          <w:rPr>
            <w:webHidden/>
          </w:rPr>
          <w:fldChar w:fldCharType="end"/>
        </w:r>
      </w:hyperlink>
    </w:p>
    <w:p w14:paraId="3EF6C349" w14:textId="5608080F" w:rsidR="00C02C94" w:rsidRDefault="00C02C94" w:rsidP="00C02C94">
      <w:pPr>
        <w:pStyle w:val="TOC1"/>
        <w:rPr>
          <w:rFonts w:eastAsiaTheme="minorEastAsia" w:cstheme="minorBidi"/>
          <w:spacing w:val="0"/>
          <w:lang w:val="en-US"/>
        </w:rPr>
      </w:pPr>
      <w:hyperlink w:anchor="_Toc225409787" w:history="1">
        <w:r w:rsidRPr="004975E8">
          <w:rPr>
            <w:rStyle w:val="Hyperlink"/>
          </w:rPr>
          <w:t>Chapter 2 – RISKS AND CHALLENGES</w:t>
        </w:r>
        <w:r>
          <w:rPr>
            <w:webHidden/>
          </w:rPr>
          <w:tab/>
        </w:r>
        <w:r>
          <w:rPr>
            <w:webHidden/>
          </w:rPr>
          <w:fldChar w:fldCharType="begin"/>
        </w:r>
        <w:r>
          <w:rPr>
            <w:webHidden/>
          </w:rPr>
          <w:instrText xml:space="preserve"> PAGEREF _Toc225409787 \h </w:instrText>
        </w:r>
        <w:r>
          <w:rPr>
            <w:webHidden/>
          </w:rPr>
        </w:r>
        <w:r>
          <w:rPr>
            <w:webHidden/>
          </w:rPr>
          <w:fldChar w:fldCharType="separate"/>
        </w:r>
        <w:r>
          <w:rPr>
            <w:webHidden/>
          </w:rPr>
          <w:t>6</w:t>
        </w:r>
        <w:r>
          <w:rPr>
            <w:webHidden/>
          </w:rPr>
          <w:fldChar w:fldCharType="end"/>
        </w:r>
      </w:hyperlink>
    </w:p>
    <w:p w14:paraId="1BAE9526" w14:textId="0A2362AE" w:rsidR="00C02C94" w:rsidRDefault="00C02C94" w:rsidP="00C02C94">
      <w:pPr>
        <w:pStyle w:val="TOC1"/>
        <w:rPr>
          <w:rFonts w:eastAsiaTheme="minorEastAsia" w:cstheme="minorBidi"/>
          <w:spacing w:val="0"/>
          <w:lang w:val="en-US"/>
        </w:rPr>
      </w:pPr>
      <w:hyperlink w:anchor="_Toc225409788" w:history="1">
        <w:r w:rsidRPr="004975E8">
          <w:rPr>
            <w:rStyle w:val="Hyperlink"/>
            <w:spacing w:val="-4"/>
          </w:rPr>
          <w:t>chapter 3 – Progress review and ACHIEVEMENTS AGAINST outPUTS</w:t>
        </w:r>
        <w:r>
          <w:rPr>
            <w:webHidden/>
          </w:rPr>
          <w:tab/>
        </w:r>
        <w:r>
          <w:rPr>
            <w:webHidden/>
          </w:rPr>
          <w:fldChar w:fldCharType="begin"/>
        </w:r>
        <w:r>
          <w:rPr>
            <w:webHidden/>
          </w:rPr>
          <w:instrText xml:space="preserve"> PAGEREF _Toc225409788 \h </w:instrText>
        </w:r>
        <w:r>
          <w:rPr>
            <w:webHidden/>
          </w:rPr>
        </w:r>
        <w:r>
          <w:rPr>
            <w:webHidden/>
          </w:rPr>
          <w:fldChar w:fldCharType="separate"/>
        </w:r>
        <w:r>
          <w:rPr>
            <w:webHidden/>
          </w:rPr>
          <w:t>7</w:t>
        </w:r>
        <w:r>
          <w:rPr>
            <w:webHidden/>
          </w:rPr>
          <w:fldChar w:fldCharType="end"/>
        </w:r>
      </w:hyperlink>
    </w:p>
    <w:p w14:paraId="139C8D2D" w14:textId="7058EB01" w:rsidR="00C02C94" w:rsidRDefault="00C02C94" w:rsidP="00C02C94">
      <w:pPr>
        <w:pStyle w:val="TOC1"/>
        <w:rPr>
          <w:rFonts w:eastAsiaTheme="minorEastAsia" w:cstheme="minorBidi"/>
          <w:spacing w:val="0"/>
          <w:lang w:val="en-US"/>
        </w:rPr>
      </w:pPr>
      <w:hyperlink w:anchor="_Toc225409789" w:history="1">
        <w:r w:rsidRPr="004975E8">
          <w:rPr>
            <w:rStyle w:val="Hyperlink"/>
          </w:rPr>
          <w:t>CHAPTER 4 – TRANSVERSAL THEMES: Social inclusion and gender EQUALITY</w:t>
        </w:r>
        <w:r>
          <w:rPr>
            <w:webHidden/>
          </w:rPr>
          <w:tab/>
        </w:r>
        <w:r>
          <w:rPr>
            <w:webHidden/>
          </w:rPr>
          <w:fldChar w:fldCharType="begin"/>
        </w:r>
        <w:r>
          <w:rPr>
            <w:webHidden/>
          </w:rPr>
          <w:instrText xml:space="preserve"> PAGEREF _Toc225409789 \h </w:instrText>
        </w:r>
        <w:r>
          <w:rPr>
            <w:webHidden/>
          </w:rPr>
        </w:r>
        <w:r>
          <w:rPr>
            <w:webHidden/>
          </w:rPr>
          <w:fldChar w:fldCharType="separate"/>
        </w:r>
        <w:r>
          <w:rPr>
            <w:webHidden/>
          </w:rPr>
          <w:t>10</w:t>
        </w:r>
        <w:r>
          <w:rPr>
            <w:webHidden/>
          </w:rPr>
          <w:fldChar w:fldCharType="end"/>
        </w:r>
      </w:hyperlink>
    </w:p>
    <w:p w14:paraId="77E0BDED" w14:textId="43163DDB" w:rsidR="00C02C94" w:rsidRDefault="00C02C94" w:rsidP="00C02C94">
      <w:pPr>
        <w:pStyle w:val="TOC1"/>
        <w:rPr>
          <w:rFonts w:eastAsiaTheme="minorEastAsia" w:cstheme="minorBidi"/>
          <w:spacing w:val="0"/>
          <w:lang w:val="en-US"/>
        </w:rPr>
      </w:pPr>
      <w:hyperlink w:anchor="_Toc225409790" w:history="1">
        <w:r w:rsidRPr="004975E8">
          <w:rPr>
            <w:rStyle w:val="Hyperlink"/>
          </w:rPr>
          <w:t>CHAPTER 5 – FINANCES, MANAGEMENT, AND COMMUNICATIONS</w:t>
        </w:r>
        <w:r>
          <w:rPr>
            <w:webHidden/>
          </w:rPr>
          <w:tab/>
        </w:r>
        <w:r>
          <w:rPr>
            <w:webHidden/>
          </w:rPr>
          <w:fldChar w:fldCharType="begin"/>
        </w:r>
        <w:r>
          <w:rPr>
            <w:webHidden/>
          </w:rPr>
          <w:instrText xml:space="preserve"> PAGEREF _Toc225409790 \h </w:instrText>
        </w:r>
        <w:r>
          <w:rPr>
            <w:webHidden/>
          </w:rPr>
        </w:r>
        <w:r>
          <w:rPr>
            <w:webHidden/>
          </w:rPr>
          <w:fldChar w:fldCharType="separate"/>
        </w:r>
        <w:r>
          <w:rPr>
            <w:webHidden/>
          </w:rPr>
          <w:t>10</w:t>
        </w:r>
        <w:r>
          <w:rPr>
            <w:webHidden/>
          </w:rPr>
          <w:fldChar w:fldCharType="end"/>
        </w:r>
      </w:hyperlink>
    </w:p>
    <w:p w14:paraId="03E3315A" w14:textId="39E4DCA3" w:rsidR="00C02C94" w:rsidRDefault="00C02C94" w:rsidP="00C02C94">
      <w:pPr>
        <w:pStyle w:val="TOC1"/>
        <w:rPr>
          <w:rFonts w:eastAsiaTheme="minorEastAsia" w:cstheme="minorBidi"/>
          <w:spacing w:val="0"/>
          <w:lang w:val="en-US"/>
        </w:rPr>
      </w:pPr>
      <w:hyperlink w:anchor="_Toc225409791" w:history="1">
        <w:r w:rsidRPr="004975E8">
          <w:rPr>
            <w:rStyle w:val="Hyperlink"/>
          </w:rPr>
          <w:t>chApter 6 – lessons learnt AND SUSTAINABILITY</w:t>
        </w:r>
        <w:r>
          <w:rPr>
            <w:webHidden/>
          </w:rPr>
          <w:tab/>
        </w:r>
        <w:r>
          <w:rPr>
            <w:webHidden/>
          </w:rPr>
          <w:fldChar w:fldCharType="begin"/>
        </w:r>
        <w:r>
          <w:rPr>
            <w:webHidden/>
          </w:rPr>
          <w:instrText xml:space="preserve"> PAGEREF _Toc225409791 \h </w:instrText>
        </w:r>
        <w:r>
          <w:rPr>
            <w:webHidden/>
          </w:rPr>
        </w:r>
        <w:r>
          <w:rPr>
            <w:webHidden/>
          </w:rPr>
          <w:fldChar w:fldCharType="separate"/>
        </w:r>
        <w:r>
          <w:rPr>
            <w:webHidden/>
          </w:rPr>
          <w:t>11</w:t>
        </w:r>
        <w:r>
          <w:rPr>
            <w:webHidden/>
          </w:rPr>
          <w:fldChar w:fldCharType="end"/>
        </w:r>
      </w:hyperlink>
    </w:p>
    <w:p w14:paraId="09ADC317" w14:textId="4EA6A447" w:rsidR="005B6422" w:rsidRPr="00753A51" w:rsidRDefault="005B6422" w:rsidP="005B6422">
      <w:pPr>
        <w:tabs>
          <w:tab w:val="right" w:leader="dot" w:pos="9639"/>
        </w:tabs>
        <w:spacing w:after="120"/>
        <w:rPr>
          <w:rFonts w:asciiTheme="minorHAnsi" w:hAnsiTheme="minorHAnsi" w:cstheme="minorHAnsi"/>
          <w:sz w:val="22"/>
          <w:szCs w:val="22"/>
        </w:rPr>
      </w:pPr>
      <w:r w:rsidRPr="00C02C94">
        <w:rPr>
          <w:rFonts w:asciiTheme="minorHAnsi" w:hAnsiTheme="minorHAnsi" w:cstheme="minorHAnsi"/>
          <w:sz w:val="22"/>
          <w:szCs w:val="22"/>
          <w:highlight w:val="yellow"/>
        </w:rPr>
        <w:fldChar w:fldCharType="end"/>
      </w:r>
    </w:p>
    <w:p w14:paraId="6A21F569" w14:textId="77777777" w:rsidR="005B6422" w:rsidRPr="00753A51" w:rsidRDefault="005B6422" w:rsidP="005B6422">
      <w:pPr>
        <w:spacing w:after="160" w:line="259" w:lineRule="auto"/>
        <w:rPr>
          <w:rFonts w:asciiTheme="minorHAnsi" w:hAnsiTheme="minorHAnsi" w:cstheme="minorHAnsi"/>
          <w:sz w:val="22"/>
          <w:szCs w:val="22"/>
        </w:rPr>
      </w:pPr>
      <w:r w:rsidRPr="00753A51">
        <w:rPr>
          <w:rFonts w:asciiTheme="minorHAnsi" w:hAnsiTheme="minorHAnsi" w:cstheme="minorHAnsi"/>
          <w:sz w:val="22"/>
          <w:szCs w:val="22"/>
        </w:rPr>
        <w:br w:type="page"/>
      </w:r>
    </w:p>
    <w:p w14:paraId="33D0B5DB" w14:textId="77777777" w:rsidR="005B6422" w:rsidRPr="00753A51" w:rsidRDefault="005B6422" w:rsidP="005B6422">
      <w:pPr>
        <w:pStyle w:val="Heading1"/>
        <w:shd w:val="clear" w:color="auto" w:fill="44546A" w:themeFill="text2"/>
        <w:spacing w:before="0" w:after="120"/>
        <w:rPr>
          <w:rFonts w:asciiTheme="minorHAnsi" w:hAnsiTheme="minorHAnsi" w:cstheme="minorHAnsi"/>
          <w:caps/>
          <w:color w:val="FFFFFF" w:themeColor="background1"/>
          <w:sz w:val="22"/>
          <w:szCs w:val="22"/>
          <w:lang w:val="en-GB"/>
        </w:rPr>
      </w:pPr>
      <w:bookmarkStart w:id="16" w:name="_Toc33613726"/>
      <w:bookmarkStart w:id="17" w:name="_Toc48852643"/>
      <w:bookmarkStart w:id="18" w:name="_Toc225409783"/>
      <w:r w:rsidRPr="00753A51">
        <w:rPr>
          <w:rFonts w:asciiTheme="minorHAnsi" w:hAnsiTheme="minorHAnsi" w:cstheme="minorHAnsi"/>
          <w:caps/>
          <w:color w:val="FFFFFF" w:themeColor="background1"/>
          <w:sz w:val="22"/>
          <w:szCs w:val="22"/>
          <w:lang w:val="en-GB"/>
        </w:rPr>
        <w:lastRenderedPageBreak/>
        <w:t>list of Abbreviations</w:t>
      </w:r>
      <w:bookmarkEnd w:id="16"/>
      <w:bookmarkEnd w:id="17"/>
      <w:bookmarkEnd w:id="18"/>
    </w:p>
    <w:p w14:paraId="0F698FB1" w14:textId="5F6D951D" w:rsidR="005B6422" w:rsidRPr="00753A51" w:rsidRDefault="005B6422" w:rsidP="005B6422">
      <w:pPr>
        <w:rPr>
          <w:rFonts w:asciiTheme="minorHAnsi" w:hAnsiTheme="minorHAnsi" w:cstheme="minorHAnsi"/>
          <w:spacing w:val="-4"/>
          <w:sz w:val="22"/>
          <w:szCs w:val="22"/>
        </w:rPr>
      </w:pPr>
      <w:r w:rsidRPr="00753A51">
        <w:rPr>
          <w:rFonts w:asciiTheme="minorHAnsi" w:hAnsiTheme="minorHAnsi" w:cstheme="minorHAnsi"/>
          <w:spacing w:val="-4"/>
          <w:sz w:val="22"/>
          <w:szCs w:val="22"/>
        </w:rPr>
        <w:t>B</w:t>
      </w:r>
      <w:r w:rsidR="00F97679" w:rsidRPr="00753A51">
        <w:rPr>
          <w:rFonts w:asciiTheme="minorHAnsi" w:hAnsiTheme="minorHAnsi" w:cstheme="minorHAnsi"/>
          <w:spacing w:val="-4"/>
          <w:sz w:val="22"/>
          <w:szCs w:val="22"/>
        </w:rPr>
        <w:t>I</w:t>
      </w:r>
      <w:r w:rsidRPr="00753A51">
        <w:rPr>
          <w:rFonts w:asciiTheme="minorHAnsi" w:hAnsiTheme="minorHAnsi" w:cstheme="minorHAnsi"/>
          <w:spacing w:val="-4"/>
          <w:sz w:val="22"/>
          <w:szCs w:val="22"/>
        </w:rPr>
        <w:t>H ─ Bosnia and Herzegovina</w:t>
      </w:r>
    </w:p>
    <w:p w14:paraId="5FBA220F" w14:textId="77777777" w:rsidR="005B6422" w:rsidRPr="00753A51" w:rsidRDefault="005B6422" w:rsidP="005B6422">
      <w:pPr>
        <w:rPr>
          <w:rFonts w:asciiTheme="minorHAnsi" w:hAnsiTheme="minorHAnsi" w:cstheme="minorHAnsi"/>
          <w:spacing w:val="-4"/>
          <w:sz w:val="22"/>
          <w:szCs w:val="22"/>
        </w:rPr>
      </w:pPr>
      <w:r w:rsidRPr="00753A51">
        <w:rPr>
          <w:rFonts w:asciiTheme="minorHAnsi" w:hAnsiTheme="minorHAnsi" w:cstheme="minorHAnsi"/>
          <w:spacing w:val="-4"/>
          <w:sz w:val="22"/>
          <w:szCs w:val="22"/>
        </w:rPr>
        <w:t>BD – Brčko District of Bosnia and Herzegovina</w:t>
      </w:r>
    </w:p>
    <w:p w14:paraId="243479C2" w14:textId="77777777" w:rsidR="005B6422" w:rsidRPr="00753A51" w:rsidRDefault="005B6422" w:rsidP="005B6422">
      <w:pPr>
        <w:rPr>
          <w:rFonts w:asciiTheme="minorHAnsi" w:hAnsiTheme="minorHAnsi" w:cstheme="minorHAnsi"/>
          <w:spacing w:val="-4"/>
          <w:sz w:val="22"/>
          <w:szCs w:val="22"/>
        </w:rPr>
      </w:pPr>
      <w:r w:rsidRPr="00753A51">
        <w:rPr>
          <w:rFonts w:asciiTheme="minorHAnsi" w:hAnsiTheme="minorHAnsi" w:cstheme="minorHAnsi"/>
          <w:spacing w:val="-4"/>
          <w:sz w:val="22"/>
          <w:szCs w:val="22"/>
        </w:rPr>
        <w:t>CSO – Civil Society Organisation</w:t>
      </w:r>
    </w:p>
    <w:p w14:paraId="1FDEB767" w14:textId="77777777" w:rsidR="005B6422" w:rsidRPr="00753A51" w:rsidRDefault="005B6422" w:rsidP="005B6422">
      <w:pPr>
        <w:rPr>
          <w:rFonts w:asciiTheme="minorHAnsi" w:hAnsiTheme="minorHAnsi" w:cstheme="minorHAnsi"/>
          <w:spacing w:val="-4"/>
          <w:sz w:val="22"/>
          <w:szCs w:val="22"/>
        </w:rPr>
      </w:pPr>
      <w:r w:rsidRPr="00753A51">
        <w:rPr>
          <w:rFonts w:asciiTheme="minorHAnsi" w:hAnsiTheme="minorHAnsi" w:cstheme="minorHAnsi"/>
          <w:spacing w:val="-4"/>
          <w:sz w:val="22"/>
          <w:szCs w:val="22"/>
        </w:rPr>
        <w:t>EU – European Union</w:t>
      </w:r>
    </w:p>
    <w:p w14:paraId="3E2EA5E9" w14:textId="04896185" w:rsidR="005B6422" w:rsidRPr="00753A51" w:rsidRDefault="005B6422" w:rsidP="005B6422">
      <w:pPr>
        <w:rPr>
          <w:rFonts w:asciiTheme="minorHAnsi" w:hAnsiTheme="minorHAnsi" w:cstheme="minorHAnsi"/>
          <w:spacing w:val="-4"/>
          <w:sz w:val="22"/>
          <w:szCs w:val="22"/>
        </w:rPr>
      </w:pPr>
      <w:r w:rsidRPr="00753A51">
        <w:rPr>
          <w:rFonts w:asciiTheme="minorHAnsi" w:hAnsiTheme="minorHAnsi" w:cstheme="minorHAnsi"/>
          <w:spacing w:val="-4"/>
          <w:sz w:val="22"/>
          <w:szCs w:val="22"/>
        </w:rPr>
        <w:t>FB</w:t>
      </w:r>
      <w:r w:rsidR="00D46A31" w:rsidRPr="00753A51">
        <w:rPr>
          <w:rFonts w:asciiTheme="minorHAnsi" w:hAnsiTheme="minorHAnsi" w:cstheme="minorHAnsi"/>
          <w:spacing w:val="-4"/>
          <w:sz w:val="22"/>
          <w:szCs w:val="22"/>
        </w:rPr>
        <w:t>I</w:t>
      </w:r>
      <w:r w:rsidRPr="00753A51">
        <w:rPr>
          <w:rFonts w:asciiTheme="minorHAnsi" w:hAnsiTheme="minorHAnsi" w:cstheme="minorHAnsi"/>
          <w:spacing w:val="-4"/>
          <w:sz w:val="22"/>
          <w:szCs w:val="22"/>
        </w:rPr>
        <w:t>H – Federation of Bosnia and Herzegovina</w:t>
      </w:r>
    </w:p>
    <w:p w14:paraId="3915BEC5" w14:textId="77777777" w:rsidR="005B6422" w:rsidRPr="00753A51" w:rsidRDefault="005B6422" w:rsidP="005B6422">
      <w:pPr>
        <w:rPr>
          <w:rFonts w:asciiTheme="minorHAnsi" w:hAnsiTheme="minorHAnsi" w:cstheme="minorHAnsi"/>
          <w:spacing w:val="-4"/>
          <w:sz w:val="22"/>
          <w:szCs w:val="22"/>
        </w:rPr>
      </w:pPr>
      <w:r w:rsidRPr="00753A51">
        <w:rPr>
          <w:rFonts w:asciiTheme="minorHAnsi" w:hAnsiTheme="minorHAnsi" w:cstheme="minorHAnsi"/>
          <w:spacing w:val="-4"/>
          <w:sz w:val="22"/>
          <w:szCs w:val="22"/>
        </w:rPr>
        <w:t>LG ─ Local Government</w:t>
      </w:r>
    </w:p>
    <w:p w14:paraId="02963E08" w14:textId="77777777" w:rsidR="005B6422" w:rsidRPr="00753A51" w:rsidRDefault="005B6422" w:rsidP="005B6422">
      <w:pPr>
        <w:rPr>
          <w:rFonts w:asciiTheme="minorHAnsi" w:hAnsiTheme="minorHAnsi" w:cstheme="minorHAnsi"/>
          <w:spacing w:val="-4"/>
          <w:sz w:val="22"/>
          <w:szCs w:val="22"/>
        </w:rPr>
      </w:pPr>
      <w:r w:rsidRPr="00753A51">
        <w:rPr>
          <w:rFonts w:asciiTheme="minorHAnsi" w:hAnsiTheme="minorHAnsi" w:cstheme="minorHAnsi"/>
          <w:spacing w:val="-4"/>
          <w:sz w:val="22"/>
          <w:szCs w:val="22"/>
        </w:rPr>
        <w:t>RS – Republika Srpska</w:t>
      </w:r>
    </w:p>
    <w:p w14:paraId="33A72D2F" w14:textId="77777777" w:rsidR="005B6422" w:rsidRPr="00753A51" w:rsidRDefault="005B6422" w:rsidP="005B6422">
      <w:pPr>
        <w:rPr>
          <w:rFonts w:asciiTheme="minorHAnsi" w:hAnsiTheme="minorHAnsi" w:cstheme="minorBidi"/>
          <w:spacing w:val="-4"/>
          <w:sz w:val="22"/>
          <w:szCs w:val="22"/>
        </w:rPr>
      </w:pPr>
      <w:r w:rsidRPr="00753A51">
        <w:rPr>
          <w:rFonts w:asciiTheme="minorHAnsi" w:hAnsiTheme="minorHAnsi" w:cstheme="minorBidi"/>
          <w:spacing w:val="-4"/>
          <w:sz w:val="22"/>
          <w:szCs w:val="22"/>
        </w:rPr>
        <w:t>RP – Responsible Party</w:t>
      </w:r>
    </w:p>
    <w:p w14:paraId="2F7D3646" w14:textId="106ECB7A" w:rsidR="005B6422" w:rsidRPr="00753A51" w:rsidRDefault="005B6422" w:rsidP="005B6422">
      <w:pPr>
        <w:rPr>
          <w:rFonts w:asciiTheme="minorHAnsi" w:hAnsiTheme="minorHAnsi" w:cstheme="minorBidi"/>
          <w:sz w:val="22"/>
          <w:szCs w:val="22"/>
        </w:rPr>
      </w:pPr>
      <w:r w:rsidRPr="00753A51">
        <w:rPr>
          <w:rFonts w:asciiTheme="minorHAnsi" w:hAnsiTheme="minorHAnsi" w:cstheme="minorBidi"/>
          <w:sz w:val="22"/>
          <w:szCs w:val="22"/>
        </w:rPr>
        <w:t>SP</w:t>
      </w:r>
      <w:r w:rsidR="007E644A" w:rsidRPr="00753A51">
        <w:rPr>
          <w:rFonts w:asciiTheme="minorHAnsi" w:hAnsiTheme="minorHAnsi" w:cstheme="minorBidi"/>
          <w:sz w:val="22"/>
          <w:szCs w:val="22"/>
        </w:rPr>
        <w:t xml:space="preserve"> </w:t>
      </w:r>
      <w:r w:rsidRPr="00753A51">
        <w:rPr>
          <w:rFonts w:asciiTheme="minorHAnsi" w:hAnsiTheme="minorHAnsi" w:cstheme="minorBidi"/>
          <w:sz w:val="22"/>
          <w:szCs w:val="22"/>
        </w:rPr>
        <w:t>-</w:t>
      </w:r>
      <w:r w:rsidR="007E644A" w:rsidRPr="00753A51">
        <w:rPr>
          <w:rFonts w:asciiTheme="minorHAnsi" w:hAnsiTheme="minorHAnsi" w:cstheme="minorBidi"/>
          <w:sz w:val="22"/>
          <w:szCs w:val="22"/>
        </w:rPr>
        <w:t xml:space="preserve"> </w:t>
      </w:r>
      <w:r w:rsidRPr="00753A51">
        <w:rPr>
          <w:rFonts w:asciiTheme="minorHAnsi" w:hAnsiTheme="minorHAnsi" w:cstheme="minorBidi"/>
          <w:sz w:val="22"/>
          <w:szCs w:val="22"/>
        </w:rPr>
        <w:t>Service Provider</w:t>
      </w:r>
    </w:p>
    <w:p w14:paraId="7197D8DE" w14:textId="77777777" w:rsidR="005B6422" w:rsidRPr="00753A51" w:rsidRDefault="005B6422" w:rsidP="005B6422">
      <w:pPr>
        <w:rPr>
          <w:rFonts w:asciiTheme="minorHAnsi" w:hAnsiTheme="minorHAnsi" w:cstheme="minorHAnsi"/>
          <w:spacing w:val="-4"/>
          <w:sz w:val="22"/>
          <w:szCs w:val="22"/>
        </w:rPr>
      </w:pPr>
      <w:r w:rsidRPr="00753A51">
        <w:rPr>
          <w:rFonts w:asciiTheme="minorHAnsi" w:hAnsiTheme="minorHAnsi" w:cstheme="minorHAnsi"/>
          <w:spacing w:val="-4"/>
          <w:sz w:val="22"/>
          <w:szCs w:val="22"/>
        </w:rPr>
        <w:t>UNDP – United Nations Development Programme</w:t>
      </w:r>
    </w:p>
    <w:p w14:paraId="6967BAC0" w14:textId="77777777" w:rsidR="005B6422" w:rsidRDefault="005B6422" w:rsidP="005B6422">
      <w:pPr>
        <w:rPr>
          <w:rFonts w:asciiTheme="minorHAnsi" w:hAnsiTheme="minorHAnsi" w:cstheme="minorHAnsi"/>
          <w:spacing w:val="-4"/>
          <w:sz w:val="22"/>
          <w:szCs w:val="22"/>
        </w:rPr>
      </w:pPr>
      <w:r w:rsidRPr="00753A51">
        <w:rPr>
          <w:rFonts w:asciiTheme="minorHAnsi" w:hAnsiTheme="minorHAnsi" w:cstheme="minorHAnsi"/>
          <w:spacing w:val="-4"/>
          <w:sz w:val="22"/>
          <w:szCs w:val="22"/>
        </w:rPr>
        <w:t>USD – United States Dollar</w:t>
      </w:r>
    </w:p>
    <w:p w14:paraId="1491512A" w14:textId="2E9C424C" w:rsidR="005F5873" w:rsidRDefault="005F5873" w:rsidP="005B6422">
      <w:pPr>
        <w:rPr>
          <w:rFonts w:asciiTheme="minorHAnsi" w:hAnsiTheme="minorHAnsi" w:cstheme="minorHAnsi"/>
          <w:sz w:val="22"/>
          <w:szCs w:val="22"/>
        </w:rPr>
      </w:pPr>
      <w:r>
        <w:rPr>
          <w:rFonts w:asciiTheme="minorHAnsi" w:hAnsiTheme="minorHAnsi" w:cstheme="minorHAnsi"/>
          <w:sz w:val="22"/>
          <w:szCs w:val="22"/>
        </w:rPr>
        <w:t xml:space="preserve">OHR - </w:t>
      </w:r>
      <w:r w:rsidRPr="005F5873">
        <w:rPr>
          <w:rFonts w:asciiTheme="minorHAnsi" w:hAnsiTheme="minorHAnsi" w:cstheme="minorHAnsi"/>
          <w:sz w:val="22"/>
          <w:szCs w:val="22"/>
        </w:rPr>
        <w:t>Office of the High Representative</w:t>
      </w:r>
    </w:p>
    <w:p w14:paraId="5F4D78EF" w14:textId="48E09183" w:rsidR="00A1556C" w:rsidRDefault="00A1556C" w:rsidP="005B6422">
      <w:pPr>
        <w:rPr>
          <w:rFonts w:asciiTheme="minorHAnsi" w:hAnsiTheme="minorHAnsi" w:cstheme="minorHAnsi"/>
          <w:sz w:val="22"/>
          <w:szCs w:val="22"/>
        </w:rPr>
      </w:pPr>
      <w:proofErr w:type="spellStart"/>
      <w:r>
        <w:rPr>
          <w:rFonts w:asciiTheme="minorHAnsi" w:hAnsiTheme="minorHAnsi" w:cstheme="minorHAnsi"/>
          <w:sz w:val="22"/>
          <w:szCs w:val="22"/>
        </w:rPr>
        <w:t>ToR</w:t>
      </w:r>
      <w:proofErr w:type="spellEnd"/>
      <w:r>
        <w:rPr>
          <w:rFonts w:asciiTheme="minorHAnsi" w:hAnsiTheme="minorHAnsi" w:cstheme="minorHAnsi"/>
          <w:sz w:val="22"/>
          <w:szCs w:val="22"/>
        </w:rPr>
        <w:t xml:space="preserve"> - </w:t>
      </w:r>
      <w:r w:rsidRPr="00A1556C">
        <w:rPr>
          <w:rFonts w:asciiTheme="minorHAnsi" w:hAnsiTheme="minorHAnsi" w:cstheme="minorHAnsi"/>
          <w:sz w:val="22"/>
          <w:szCs w:val="22"/>
        </w:rPr>
        <w:t xml:space="preserve">Terms of Reference </w:t>
      </w:r>
    </w:p>
    <w:p w14:paraId="703AE5F2" w14:textId="6ADDA37F" w:rsidR="00661EB0" w:rsidRDefault="00661EB0" w:rsidP="005B6422">
      <w:pPr>
        <w:rPr>
          <w:rFonts w:asciiTheme="minorHAnsi" w:hAnsiTheme="minorHAnsi" w:cstheme="minorHAnsi"/>
          <w:sz w:val="22"/>
          <w:szCs w:val="22"/>
        </w:rPr>
      </w:pPr>
      <w:r>
        <w:rPr>
          <w:rFonts w:asciiTheme="minorHAnsi" w:hAnsiTheme="minorHAnsi" w:cstheme="minorHAnsi"/>
          <w:sz w:val="22"/>
          <w:szCs w:val="22"/>
        </w:rPr>
        <w:t xml:space="preserve">LDGs - </w:t>
      </w:r>
      <w:r w:rsidRPr="00661EB0">
        <w:rPr>
          <w:rFonts w:asciiTheme="minorHAnsi" w:hAnsiTheme="minorHAnsi" w:cstheme="minorHAnsi"/>
          <w:sz w:val="22"/>
          <w:szCs w:val="22"/>
        </w:rPr>
        <w:t xml:space="preserve">Local Dialogue Groups </w:t>
      </w:r>
    </w:p>
    <w:p w14:paraId="7C5F4AE9" w14:textId="0B9C7960" w:rsidR="00DB6EC3" w:rsidRDefault="00DB6EC3" w:rsidP="005B6422">
      <w:pPr>
        <w:rPr>
          <w:rFonts w:asciiTheme="minorHAnsi" w:hAnsiTheme="minorHAnsi" w:cstheme="minorHAnsi"/>
          <w:sz w:val="22"/>
          <w:szCs w:val="22"/>
        </w:rPr>
      </w:pPr>
      <w:r>
        <w:rPr>
          <w:rFonts w:asciiTheme="minorHAnsi" w:hAnsiTheme="minorHAnsi" w:cstheme="minorHAnsi"/>
          <w:sz w:val="22"/>
          <w:szCs w:val="22"/>
        </w:rPr>
        <w:t xml:space="preserve">DFF - </w:t>
      </w:r>
      <w:r w:rsidRPr="00DB6EC3">
        <w:rPr>
          <w:rFonts w:asciiTheme="minorHAnsi" w:hAnsiTheme="minorHAnsi" w:cstheme="minorHAnsi"/>
          <w:sz w:val="22"/>
          <w:szCs w:val="22"/>
        </w:rPr>
        <w:t xml:space="preserve">Dialogue for the Future </w:t>
      </w:r>
      <w:r>
        <w:rPr>
          <w:rFonts w:asciiTheme="minorHAnsi" w:hAnsiTheme="minorHAnsi" w:cstheme="minorHAnsi"/>
          <w:sz w:val="22"/>
          <w:szCs w:val="22"/>
        </w:rPr>
        <w:t>Project</w:t>
      </w:r>
      <w:r w:rsidRPr="00DB6EC3">
        <w:rPr>
          <w:rFonts w:asciiTheme="minorHAnsi" w:hAnsiTheme="minorHAnsi" w:cstheme="minorHAnsi"/>
          <w:sz w:val="22"/>
          <w:szCs w:val="22"/>
        </w:rPr>
        <w:t xml:space="preserve"> </w:t>
      </w:r>
    </w:p>
    <w:p w14:paraId="2C40210F" w14:textId="1E47A940" w:rsidR="00AA6FE3" w:rsidRDefault="00AA6FE3" w:rsidP="005B6422">
      <w:pPr>
        <w:rPr>
          <w:rFonts w:asciiTheme="minorHAnsi" w:hAnsiTheme="minorHAnsi" w:cstheme="minorHAnsi"/>
          <w:sz w:val="22"/>
          <w:szCs w:val="22"/>
        </w:rPr>
      </w:pPr>
      <w:r w:rsidRPr="000B1739">
        <w:rPr>
          <w:rFonts w:asciiTheme="minorHAnsi" w:hAnsiTheme="minorHAnsi" w:cstheme="minorHAnsi"/>
          <w:sz w:val="22"/>
          <w:szCs w:val="22"/>
        </w:rPr>
        <w:t>DANIDA - Danish Ministry of Foreign Affairs</w:t>
      </w:r>
      <w:r w:rsidRPr="00AA6FE3">
        <w:rPr>
          <w:rFonts w:asciiTheme="minorHAnsi" w:hAnsiTheme="minorHAnsi" w:cstheme="minorHAnsi"/>
          <w:sz w:val="22"/>
          <w:szCs w:val="22"/>
        </w:rPr>
        <w:t xml:space="preserve"> </w:t>
      </w:r>
    </w:p>
    <w:p w14:paraId="034FEBCD" w14:textId="7B8C7A52" w:rsidR="00651271" w:rsidRPr="00753A51" w:rsidRDefault="00651271" w:rsidP="005B6422">
      <w:pPr>
        <w:rPr>
          <w:rFonts w:asciiTheme="minorHAnsi" w:hAnsiTheme="minorHAnsi" w:cstheme="minorHAnsi"/>
          <w:sz w:val="22"/>
          <w:szCs w:val="22"/>
        </w:rPr>
      </w:pPr>
      <w:r>
        <w:rPr>
          <w:rFonts w:asciiTheme="minorHAnsi" w:hAnsiTheme="minorHAnsi" w:cstheme="minorHAnsi"/>
          <w:sz w:val="22"/>
          <w:szCs w:val="22"/>
        </w:rPr>
        <w:t xml:space="preserve">CRG - </w:t>
      </w:r>
      <w:r w:rsidRPr="00651271">
        <w:rPr>
          <w:rFonts w:asciiTheme="minorHAnsi" w:hAnsiTheme="minorHAnsi" w:cstheme="minorHAnsi"/>
          <w:sz w:val="22"/>
          <w:szCs w:val="22"/>
        </w:rPr>
        <w:t xml:space="preserve">Core Reflection Group </w:t>
      </w:r>
    </w:p>
    <w:p w14:paraId="4B744C90" w14:textId="77777777" w:rsidR="005B6422" w:rsidRPr="00753A51" w:rsidRDefault="005B6422" w:rsidP="005B6422">
      <w:pPr>
        <w:rPr>
          <w:rFonts w:asciiTheme="minorHAnsi" w:hAnsiTheme="minorHAnsi" w:cstheme="minorHAnsi"/>
          <w:sz w:val="22"/>
          <w:szCs w:val="22"/>
        </w:rPr>
      </w:pPr>
      <w:r w:rsidRPr="00753A51">
        <w:rPr>
          <w:rFonts w:asciiTheme="minorHAnsi" w:hAnsiTheme="minorHAnsi" w:cstheme="minorHAnsi"/>
          <w:sz w:val="22"/>
          <w:szCs w:val="22"/>
        </w:rPr>
        <w:br w:type="page"/>
      </w:r>
    </w:p>
    <w:p w14:paraId="47AA10F8" w14:textId="3E6D25A0" w:rsidR="005B6422" w:rsidRPr="00753A51" w:rsidRDefault="005B6422" w:rsidP="005B6422">
      <w:pPr>
        <w:pStyle w:val="Heading1"/>
        <w:shd w:val="clear" w:color="auto" w:fill="44546A" w:themeFill="text2"/>
        <w:spacing w:before="120" w:after="120"/>
        <w:rPr>
          <w:rFonts w:asciiTheme="minorHAnsi" w:hAnsiTheme="minorHAnsi" w:cstheme="minorHAnsi"/>
          <w:caps/>
          <w:color w:val="FFFFFF" w:themeColor="background1"/>
          <w:sz w:val="22"/>
          <w:szCs w:val="22"/>
          <w:lang w:val="en-GB"/>
        </w:rPr>
      </w:pPr>
      <w:bookmarkStart w:id="19" w:name="_Toc225409784"/>
      <w:r w:rsidRPr="00753A51">
        <w:rPr>
          <w:rFonts w:asciiTheme="minorHAnsi" w:hAnsiTheme="minorHAnsi" w:cstheme="minorHAnsi"/>
          <w:caps/>
          <w:color w:val="FFFFFF" w:themeColor="background1"/>
          <w:sz w:val="22"/>
          <w:szCs w:val="22"/>
          <w:lang w:val="en-GB"/>
        </w:rPr>
        <w:lastRenderedPageBreak/>
        <w:t xml:space="preserve">BASIC </w:t>
      </w:r>
      <w:bookmarkStart w:id="20" w:name="_Toc522004550"/>
      <w:r w:rsidRPr="00753A51">
        <w:rPr>
          <w:rFonts w:asciiTheme="minorHAnsi" w:hAnsiTheme="minorHAnsi" w:cstheme="minorHAnsi"/>
          <w:caps/>
          <w:color w:val="FFFFFF" w:themeColor="background1"/>
          <w:sz w:val="22"/>
          <w:szCs w:val="22"/>
          <w:lang w:val="en-GB"/>
        </w:rPr>
        <w:t>INFORMATION</w:t>
      </w:r>
      <w:bookmarkEnd w:id="19"/>
      <w:bookmarkEnd w:id="20"/>
      <w:r w:rsidRPr="00753A51">
        <w:rPr>
          <w:rFonts w:asciiTheme="minorHAnsi" w:hAnsiTheme="minorHAnsi" w:cstheme="minorHAnsi"/>
          <w:caps/>
          <w:color w:val="FFFFFF" w:themeColor="background1"/>
          <w:sz w:val="22"/>
          <w:szCs w:val="22"/>
          <w:lang w:val="en-GB"/>
        </w:rPr>
        <w:t xml:space="preserve"> </w:t>
      </w:r>
    </w:p>
    <w:p w14:paraId="2FA5A2DD" w14:textId="45D0B60F" w:rsidR="00014373" w:rsidRPr="00014373" w:rsidRDefault="00014373" w:rsidP="009B0FBB">
      <w:pPr>
        <w:jc w:val="both"/>
        <w:rPr>
          <w:rFonts w:asciiTheme="minorHAnsi" w:hAnsiTheme="minorHAnsi" w:cstheme="minorHAnsi"/>
          <w:sz w:val="22"/>
          <w:szCs w:val="22"/>
        </w:rPr>
      </w:pPr>
      <w:r w:rsidRPr="00014373">
        <w:rPr>
          <w:rFonts w:asciiTheme="minorHAnsi" w:hAnsiTheme="minorHAnsi" w:cstheme="minorHAnsi"/>
          <w:sz w:val="22"/>
          <w:szCs w:val="22"/>
        </w:rPr>
        <w:t xml:space="preserve">The "Bridges of Trust – Improving social cohesion and resilience in Bosnia and Herzegovina" </w:t>
      </w:r>
      <w:r w:rsidR="009B0FBB">
        <w:rPr>
          <w:rFonts w:asciiTheme="minorHAnsi" w:hAnsiTheme="minorHAnsi" w:cstheme="minorHAnsi"/>
          <w:sz w:val="22"/>
          <w:szCs w:val="22"/>
        </w:rPr>
        <w:t>(SCORE P</w:t>
      </w:r>
      <w:r w:rsidRPr="00014373">
        <w:rPr>
          <w:rFonts w:asciiTheme="minorHAnsi" w:hAnsiTheme="minorHAnsi" w:cstheme="minorHAnsi"/>
          <w:sz w:val="22"/>
          <w:szCs w:val="22"/>
        </w:rPr>
        <w:t>roject</w:t>
      </w:r>
      <w:r w:rsidR="009B0FBB">
        <w:rPr>
          <w:rFonts w:asciiTheme="minorHAnsi" w:hAnsiTheme="minorHAnsi" w:cstheme="minorHAnsi"/>
          <w:sz w:val="22"/>
          <w:szCs w:val="22"/>
        </w:rPr>
        <w:t>)</w:t>
      </w:r>
      <w:r w:rsidRPr="00014373">
        <w:rPr>
          <w:rFonts w:asciiTheme="minorHAnsi" w:hAnsiTheme="minorHAnsi" w:cstheme="minorHAnsi"/>
          <w:sz w:val="22"/>
          <w:szCs w:val="22"/>
        </w:rPr>
        <w:t xml:space="preserve"> is an initiative funded by the Danish Ministry of Foreign Affairs (DANIDA), aimed at fostering social cohesion, resilience, and inclusive participation in Bosnia and Herzegovina (B</w:t>
      </w:r>
      <w:r w:rsidR="009B0FBB">
        <w:rPr>
          <w:rFonts w:asciiTheme="minorHAnsi" w:hAnsiTheme="minorHAnsi" w:cstheme="minorHAnsi"/>
          <w:sz w:val="22"/>
          <w:szCs w:val="22"/>
        </w:rPr>
        <w:t>I</w:t>
      </w:r>
      <w:r w:rsidRPr="00014373">
        <w:rPr>
          <w:rFonts w:asciiTheme="minorHAnsi" w:hAnsiTheme="minorHAnsi" w:cstheme="minorHAnsi"/>
          <w:sz w:val="22"/>
          <w:szCs w:val="22"/>
        </w:rPr>
        <w:t xml:space="preserve">H). </w:t>
      </w:r>
      <w:r w:rsidR="000D0185" w:rsidRPr="000D0185">
        <w:rPr>
          <w:rFonts w:asciiTheme="minorHAnsi" w:hAnsiTheme="minorHAnsi" w:cstheme="minorHAnsi"/>
          <w:sz w:val="22"/>
          <w:szCs w:val="22"/>
        </w:rPr>
        <w:t>The project is implemented by the United Nations Development Programme (UNDP) from July 2025 to December 2026.</w:t>
      </w:r>
      <w:r w:rsidRPr="00014373">
        <w:rPr>
          <w:rFonts w:asciiTheme="minorHAnsi" w:hAnsiTheme="minorHAnsi" w:cstheme="minorHAnsi"/>
          <w:sz w:val="22"/>
          <w:szCs w:val="22"/>
        </w:rPr>
        <w:t>This initiative is part of a broader Danish engagement in support of media independence, civil society, gender inclusion, and social cohesion in BiH, which aligns with Denmark's goals under the Danish Finance Act for 2025.</w:t>
      </w:r>
    </w:p>
    <w:p w14:paraId="0065B9A0" w14:textId="77777777" w:rsidR="00014373" w:rsidRPr="00014373" w:rsidRDefault="00014373" w:rsidP="009B0FBB">
      <w:pPr>
        <w:jc w:val="both"/>
        <w:rPr>
          <w:rFonts w:asciiTheme="minorHAnsi" w:hAnsiTheme="minorHAnsi" w:cstheme="minorHAnsi"/>
          <w:sz w:val="22"/>
          <w:szCs w:val="22"/>
        </w:rPr>
      </w:pPr>
    </w:p>
    <w:p w14:paraId="598EF196" w14:textId="77777777" w:rsidR="00014373" w:rsidRPr="00014373" w:rsidRDefault="00014373" w:rsidP="009B0FBB">
      <w:pPr>
        <w:jc w:val="both"/>
        <w:rPr>
          <w:rFonts w:asciiTheme="minorHAnsi" w:hAnsiTheme="minorHAnsi" w:cstheme="minorHAnsi"/>
          <w:sz w:val="22"/>
          <w:szCs w:val="22"/>
        </w:rPr>
      </w:pPr>
      <w:r w:rsidRPr="00014373">
        <w:rPr>
          <w:rFonts w:asciiTheme="minorHAnsi" w:hAnsiTheme="minorHAnsi" w:cstheme="minorHAnsi"/>
          <w:sz w:val="22"/>
          <w:szCs w:val="22"/>
        </w:rPr>
        <w:t>The core objective of this project is to generate an evidence-based understanding of the social divides in BiH and create opportunities for trust-building across its ethnically fragmented society. The project leverages the UNDP’s Social Cohesion and Reconciliation (SCORE) Index, a tool that has been previously used in various global contexts, including Cyprus, Ukraine, and Moldova. The SCORE Index will provide critical data that identifies divisive narratives, social tensions, and opportunities for positive change, especially among marginalized communities like women and youth.</w:t>
      </w:r>
    </w:p>
    <w:p w14:paraId="5BD6E5C1" w14:textId="77777777" w:rsidR="00014373" w:rsidRPr="00014373" w:rsidRDefault="00014373" w:rsidP="009B0FBB">
      <w:pPr>
        <w:jc w:val="both"/>
        <w:rPr>
          <w:rFonts w:asciiTheme="minorHAnsi" w:hAnsiTheme="minorHAnsi" w:cstheme="minorHAnsi"/>
          <w:sz w:val="22"/>
          <w:szCs w:val="22"/>
        </w:rPr>
      </w:pPr>
    </w:p>
    <w:p w14:paraId="5E38F24E" w14:textId="136021B9" w:rsidR="00014373" w:rsidRPr="00014373" w:rsidRDefault="00014373" w:rsidP="009B0FBB">
      <w:pPr>
        <w:jc w:val="both"/>
        <w:rPr>
          <w:rFonts w:asciiTheme="minorHAnsi" w:hAnsiTheme="minorHAnsi" w:cstheme="minorHAnsi"/>
          <w:sz w:val="22"/>
          <w:szCs w:val="22"/>
        </w:rPr>
      </w:pPr>
      <w:r w:rsidRPr="00014373">
        <w:rPr>
          <w:rFonts w:asciiTheme="minorHAnsi" w:hAnsiTheme="minorHAnsi" w:cstheme="minorHAnsi"/>
          <w:sz w:val="22"/>
          <w:szCs w:val="22"/>
        </w:rPr>
        <w:t>Given the complex socio-political landscape in B</w:t>
      </w:r>
      <w:r w:rsidR="00DE1BAD">
        <w:rPr>
          <w:rFonts w:asciiTheme="minorHAnsi" w:hAnsiTheme="minorHAnsi" w:cstheme="minorHAnsi"/>
          <w:sz w:val="22"/>
          <w:szCs w:val="22"/>
        </w:rPr>
        <w:t>I</w:t>
      </w:r>
      <w:r w:rsidRPr="00014373">
        <w:rPr>
          <w:rFonts w:asciiTheme="minorHAnsi" w:hAnsiTheme="minorHAnsi" w:cstheme="minorHAnsi"/>
          <w:sz w:val="22"/>
          <w:szCs w:val="22"/>
        </w:rPr>
        <w:t>H, characterized by entrenched ethnic divisions, political instability, and restrictive laws limiting civil society freedoms, the project aims to address these issues through three primary outputs:</w:t>
      </w:r>
    </w:p>
    <w:p w14:paraId="49B48855" w14:textId="77777777" w:rsidR="00014373" w:rsidRPr="00014373" w:rsidRDefault="00014373" w:rsidP="009B0FBB">
      <w:pPr>
        <w:jc w:val="both"/>
        <w:rPr>
          <w:rFonts w:asciiTheme="minorHAnsi" w:hAnsiTheme="minorHAnsi" w:cstheme="minorHAnsi"/>
          <w:sz w:val="22"/>
          <w:szCs w:val="22"/>
        </w:rPr>
      </w:pPr>
    </w:p>
    <w:p w14:paraId="2DDEF13B" w14:textId="77777777" w:rsidR="00014373" w:rsidRPr="00DE1BAD" w:rsidRDefault="00014373" w:rsidP="00DE1BAD">
      <w:pPr>
        <w:pStyle w:val="ListParagraph"/>
        <w:numPr>
          <w:ilvl w:val="0"/>
          <w:numId w:val="49"/>
        </w:numPr>
        <w:jc w:val="both"/>
        <w:rPr>
          <w:rFonts w:asciiTheme="minorHAnsi" w:hAnsiTheme="minorHAnsi" w:cstheme="minorHAnsi"/>
          <w:sz w:val="22"/>
          <w:szCs w:val="22"/>
        </w:rPr>
      </w:pPr>
      <w:r w:rsidRPr="00DE1BAD">
        <w:rPr>
          <w:rFonts w:asciiTheme="minorHAnsi" w:hAnsiTheme="minorHAnsi" w:cstheme="minorHAnsi"/>
          <w:sz w:val="22"/>
          <w:szCs w:val="22"/>
        </w:rPr>
        <w:t>Establishing a Robust Research Framework: The project will establish comprehensive datasets on social cohesion, resilience, and inclusive participation, which will inform policy decisions and development programming in BiH. These datasets will serve as a crucial resource for addressing key drivers of division, such as misinformation, exclusion, and identity-based tensions.</w:t>
      </w:r>
    </w:p>
    <w:p w14:paraId="5CD941CB" w14:textId="77777777" w:rsidR="00014373" w:rsidRPr="00014373" w:rsidRDefault="00014373" w:rsidP="009B0FBB">
      <w:pPr>
        <w:jc w:val="both"/>
        <w:rPr>
          <w:rFonts w:asciiTheme="minorHAnsi" w:hAnsiTheme="minorHAnsi" w:cstheme="minorHAnsi"/>
          <w:sz w:val="22"/>
          <w:szCs w:val="22"/>
        </w:rPr>
      </w:pPr>
    </w:p>
    <w:p w14:paraId="15BDEF07" w14:textId="77777777" w:rsidR="00014373" w:rsidRPr="00DE1BAD" w:rsidRDefault="00014373" w:rsidP="00DE1BAD">
      <w:pPr>
        <w:pStyle w:val="ListParagraph"/>
        <w:numPr>
          <w:ilvl w:val="0"/>
          <w:numId w:val="49"/>
        </w:numPr>
        <w:jc w:val="both"/>
        <w:rPr>
          <w:rFonts w:asciiTheme="minorHAnsi" w:hAnsiTheme="minorHAnsi" w:cstheme="minorHAnsi"/>
          <w:sz w:val="22"/>
          <w:szCs w:val="22"/>
        </w:rPr>
      </w:pPr>
      <w:r w:rsidRPr="00DE1BAD">
        <w:rPr>
          <w:rFonts w:asciiTheme="minorHAnsi" w:hAnsiTheme="minorHAnsi" w:cstheme="minorHAnsi"/>
          <w:sz w:val="22"/>
          <w:szCs w:val="22"/>
        </w:rPr>
        <w:t>Local Oversampling and Analysis: Targeted research will be conducted at the local level, particularly in communities prone to heightened social tensions. This localized data will provide in-depth insights that will inform tailored policy responses addressing specific challenges to social cohesion and gender inclusion.</w:t>
      </w:r>
    </w:p>
    <w:p w14:paraId="328790B2" w14:textId="77777777" w:rsidR="00014373" w:rsidRPr="00014373" w:rsidRDefault="00014373" w:rsidP="009B0FBB">
      <w:pPr>
        <w:jc w:val="both"/>
        <w:rPr>
          <w:rFonts w:asciiTheme="minorHAnsi" w:hAnsiTheme="minorHAnsi" w:cstheme="minorHAnsi"/>
          <w:sz w:val="22"/>
          <w:szCs w:val="22"/>
        </w:rPr>
      </w:pPr>
    </w:p>
    <w:p w14:paraId="15C6DC80" w14:textId="77777777" w:rsidR="00014373" w:rsidRPr="00DE1BAD" w:rsidRDefault="00014373" w:rsidP="00DE1BAD">
      <w:pPr>
        <w:pStyle w:val="ListParagraph"/>
        <w:numPr>
          <w:ilvl w:val="0"/>
          <w:numId w:val="49"/>
        </w:numPr>
        <w:jc w:val="both"/>
        <w:rPr>
          <w:rFonts w:asciiTheme="minorHAnsi" w:hAnsiTheme="minorHAnsi" w:cstheme="minorHAnsi"/>
          <w:sz w:val="22"/>
          <w:szCs w:val="22"/>
        </w:rPr>
      </w:pPr>
      <w:r w:rsidRPr="00DE1BAD">
        <w:rPr>
          <w:rFonts w:asciiTheme="minorHAnsi" w:hAnsiTheme="minorHAnsi" w:cstheme="minorHAnsi"/>
          <w:sz w:val="22"/>
          <w:szCs w:val="22"/>
        </w:rPr>
        <w:t>Strengthening Local Mechanisms: The project will enhance multi-stakeholder platforms across BiH, fostering intergroup trust and providing spaces for constructive dialogue. Special attention will be given to the inclusive participation of youth, women, and marginalized groups, ensuring their voices are heard in public decision-making processes.</w:t>
      </w:r>
    </w:p>
    <w:p w14:paraId="0905DA31" w14:textId="77777777" w:rsidR="00014373" w:rsidRPr="00014373" w:rsidRDefault="00014373" w:rsidP="009B0FBB">
      <w:pPr>
        <w:jc w:val="both"/>
        <w:rPr>
          <w:rFonts w:asciiTheme="minorHAnsi" w:hAnsiTheme="minorHAnsi" w:cstheme="minorHAnsi"/>
          <w:sz w:val="22"/>
          <w:szCs w:val="22"/>
        </w:rPr>
      </w:pPr>
    </w:p>
    <w:p w14:paraId="40904C6A" w14:textId="77777777" w:rsidR="00014373" w:rsidRPr="00014373" w:rsidRDefault="00014373" w:rsidP="009B0FBB">
      <w:pPr>
        <w:jc w:val="both"/>
        <w:rPr>
          <w:rFonts w:asciiTheme="minorHAnsi" w:hAnsiTheme="minorHAnsi" w:cstheme="minorHAnsi"/>
          <w:sz w:val="22"/>
          <w:szCs w:val="22"/>
        </w:rPr>
      </w:pPr>
      <w:r w:rsidRPr="00014373">
        <w:rPr>
          <w:rFonts w:asciiTheme="minorHAnsi" w:hAnsiTheme="minorHAnsi" w:cstheme="minorHAnsi"/>
          <w:sz w:val="22"/>
          <w:szCs w:val="22"/>
        </w:rPr>
        <w:t>The underlying theory of change for the project is rooted in the belief that strengthened social cohesion, supported by inclusive dialogue and data-driven analysis, will lead to a more resilient, democratic, and peaceful society in BiH. By addressing divisive narratives, fostering mutual trust, and promoting inclusive participation, the project aims to contribute to BiH's European integration process and help unlock further funding for peacebuilding initiatives.</w:t>
      </w:r>
    </w:p>
    <w:p w14:paraId="7AD04456" w14:textId="77777777" w:rsidR="00014373" w:rsidRPr="00014373" w:rsidRDefault="00014373" w:rsidP="009B0FBB">
      <w:pPr>
        <w:jc w:val="both"/>
        <w:rPr>
          <w:rFonts w:asciiTheme="minorHAnsi" w:hAnsiTheme="minorHAnsi" w:cstheme="minorHAnsi"/>
          <w:sz w:val="22"/>
          <w:szCs w:val="22"/>
        </w:rPr>
      </w:pPr>
    </w:p>
    <w:p w14:paraId="3E841741" w14:textId="1F903BAD" w:rsidR="00726C5E" w:rsidRDefault="00014373" w:rsidP="005A2824">
      <w:pPr>
        <w:jc w:val="both"/>
        <w:rPr>
          <w:rFonts w:asciiTheme="minorHAnsi" w:hAnsiTheme="minorHAnsi" w:cstheme="minorHAnsi"/>
          <w:sz w:val="22"/>
          <w:szCs w:val="22"/>
        </w:rPr>
      </w:pPr>
      <w:r w:rsidRPr="00014373">
        <w:rPr>
          <w:rFonts w:asciiTheme="minorHAnsi" w:hAnsiTheme="minorHAnsi" w:cstheme="minorHAnsi"/>
          <w:sz w:val="22"/>
          <w:szCs w:val="22"/>
        </w:rPr>
        <w:t xml:space="preserve">Ultimately, </w:t>
      </w:r>
      <w:r w:rsidR="005A2824">
        <w:rPr>
          <w:rFonts w:asciiTheme="minorHAnsi" w:hAnsiTheme="minorHAnsi" w:cstheme="minorHAnsi"/>
          <w:sz w:val="22"/>
          <w:szCs w:val="22"/>
        </w:rPr>
        <w:t>the SCORE Project</w:t>
      </w:r>
      <w:r w:rsidRPr="00014373">
        <w:rPr>
          <w:rFonts w:asciiTheme="minorHAnsi" w:hAnsiTheme="minorHAnsi" w:cstheme="minorHAnsi"/>
          <w:sz w:val="22"/>
          <w:szCs w:val="22"/>
        </w:rPr>
        <w:t xml:space="preserve"> seeks to build a more unified society in BiH by reducing polarization and creating an enabling environment for sustainable peace and development. Through its strategic combination of research, policy advocacy, and multi-stakeholder engagement, the project will support BiH’s long-term stability and European integration aspirations.</w:t>
      </w:r>
    </w:p>
    <w:p w14:paraId="49DCCA23" w14:textId="77777777" w:rsidR="00E95E5E" w:rsidRPr="005A2824" w:rsidRDefault="00E95E5E" w:rsidP="005A2824">
      <w:pPr>
        <w:jc w:val="both"/>
        <w:rPr>
          <w:rFonts w:asciiTheme="minorHAnsi" w:hAnsiTheme="minorHAnsi" w:cstheme="minorHAnsi"/>
          <w:sz w:val="22"/>
          <w:szCs w:val="22"/>
        </w:rPr>
      </w:pPr>
    </w:p>
    <w:p w14:paraId="539AF338" w14:textId="37750ECE" w:rsidR="005B6422" w:rsidRPr="00753A51" w:rsidRDefault="005B6422" w:rsidP="00652A5E">
      <w:pPr>
        <w:pStyle w:val="Heading1"/>
        <w:shd w:val="clear" w:color="auto" w:fill="44546A" w:themeFill="text2"/>
        <w:spacing w:before="120" w:after="120"/>
        <w:rPr>
          <w:rFonts w:asciiTheme="minorHAnsi" w:hAnsiTheme="minorHAnsi" w:cstheme="minorHAnsi"/>
          <w:caps/>
          <w:color w:val="FFFFFF" w:themeColor="background1"/>
          <w:sz w:val="22"/>
          <w:szCs w:val="22"/>
          <w:lang w:val="en-GB"/>
        </w:rPr>
      </w:pPr>
      <w:bookmarkStart w:id="21" w:name="_Toc522004551"/>
      <w:bookmarkStart w:id="22" w:name="_Toc225409785"/>
      <w:r w:rsidRPr="00753A51">
        <w:rPr>
          <w:rFonts w:asciiTheme="minorHAnsi" w:hAnsiTheme="minorHAnsi" w:cstheme="minorHAnsi"/>
          <w:caps/>
          <w:color w:val="FFFFFF" w:themeColor="background1"/>
          <w:sz w:val="22"/>
          <w:szCs w:val="22"/>
          <w:lang w:val="en-GB"/>
        </w:rPr>
        <w:t>Strategic Review and Outlook</w:t>
      </w:r>
      <w:bookmarkEnd w:id="21"/>
      <w:bookmarkEnd w:id="22"/>
      <w:r w:rsidRPr="00753A51">
        <w:rPr>
          <w:rFonts w:asciiTheme="minorHAnsi" w:hAnsiTheme="minorHAnsi" w:cstheme="minorHAnsi"/>
          <w:caps/>
          <w:color w:val="FFFFFF" w:themeColor="background1"/>
          <w:sz w:val="22"/>
          <w:szCs w:val="22"/>
          <w:lang w:val="en-GB"/>
        </w:rPr>
        <w:t xml:space="preserve"> </w:t>
      </w:r>
    </w:p>
    <w:p w14:paraId="6CF6900D" w14:textId="413139BC" w:rsidR="00AD163C" w:rsidRPr="00AD163C" w:rsidRDefault="00AD163C" w:rsidP="00AD163C">
      <w:pPr>
        <w:pStyle w:val="CommentText"/>
        <w:spacing w:before="120" w:after="120"/>
        <w:jc w:val="both"/>
        <w:rPr>
          <w:rFonts w:asciiTheme="minorHAnsi" w:hAnsiTheme="minorHAnsi" w:cstheme="minorHAnsi"/>
          <w:sz w:val="22"/>
          <w:szCs w:val="22"/>
        </w:rPr>
      </w:pPr>
      <w:r w:rsidRPr="00AD163C">
        <w:rPr>
          <w:rFonts w:asciiTheme="minorHAnsi" w:hAnsiTheme="minorHAnsi" w:cstheme="minorHAnsi"/>
          <w:sz w:val="22"/>
          <w:szCs w:val="22"/>
        </w:rPr>
        <w:t>As B</w:t>
      </w:r>
      <w:r>
        <w:rPr>
          <w:rFonts w:asciiTheme="minorHAnsi" w:hAnsiTheme="minorHAnsi" w:cstheme="minorHAnsi"/>
          <w:sz w:val="22"/>
          <w:szCs w:val="22"/>
        </w:rPr>
        <w:t>IH</w:t>
      </w:r>
      <w:r w:rsidRPr="00AD163C">
        <w:rPr>
          <w:rFonts w:asciiTheme="minorHAnsi" w:hAnsiTheme="minorHAnsi" w:cstheme="minorHAnsi"/>
          <w:sz w:val="22"/>
          <w:szCs w:val="22"/>
        </w:rPr>
        <w:t xml:space="preserve"> continues its journey toward EU membership, social cohesion remains a critical factor for stability and long-term integration. While </w:t>
      </w:r>
      <w:r w:rsidR="00E95E5E">
        <w:rPr>
          <w:rFonts w:asciiTheme="minorHAnsi" w:hAnsiTheme="minorHAnsi" w:cstheme="minorHAnsi"/>
          <w:sz w:val="22"/>
          <w:szCs w:val="22"/>
        </w:rPr>
        <w:t>some</w:t>
      </w:r>
      <w:r w:rsidRPr="00AD163C">
        <w:rPr>
          <w:rFonts w:asciiTheme="minorHAnsi" w:hAnsiTheme="minorHAnsi" w:cstheme="minorHAnsi"/>
          <w:sz w:val="22"/>
          <w:szCs w:val="22"/>
        </w:rPr>
        <w:t xml:space="preserve"> progress has been made in aligning with </w:t>
      </w:r>
      <w:r w:rsidR="00E95E5E">
        <w:rPr>
          <w:rFonts w:asciiTheme="minorHAnsi" w:hAnsiTheme="minorHAnsi" w:cstheme="minorHAnsi"/>
          <w:sz w:val="22"/>
          <w:szCs w:val="22"/>
        </w:rPr>
        <w:t>European Union (</w:t>
      </w:r>
      <w:r w:rsidRPr="00AD163C">
        <w:rPr>
          <w:rFonts w:asciiTheme="minorHAnsi" w:hAnsiTheme="minorHAnsi" w:cstheme="minorHAnsi"/>
          <w:sz w:val="22"/>
          <w:szCs w:val="22"/>
        </w:rPr>
        <w:t>EU</w:t>
      </w:r>
      <w:r w:rsidR="00E95E5E">
        <w:rPr>
          <w:rFonts w:asciiTheme="minorHAnsi" w:hAnsiTheme="minorHAnsi" w:cstheme="minorHAnsi"/>
          <w:sz w:val="22"/>
          <w:szCs w:val="22"/>
        </w:rPr>
        <w:t>)</w:t>
      </w:r>
      <w:r w:rsidRPr="00AD163C">
        <w:rPr>
          <w:rFonts w:asciiTheme="minorHAnsi" w:hAnsiTheme="minorHAnsi" w:cstheme="minorHAnsi"/>
          <w:sz w:val="22"/>
          <w:szCs w:val="22"/>
        </w:rPr>
        <w:t xml:space="preserve"> standards, particularly in areas such as rule of law, anti-corruption, and judicial reform, the country faces persistent challenges rooted in its complex political landscape and deeply ingrained ethnic divisions. These divisions, which trace their origins to the country’s post-conflict period and the implementation of the Dayton Peace </w:t>
      </w:r>
      <w:r w:rsidR="008A5D71">
        <w:rPr>
          <w:rFonts w:asciiTheme="minorHAnsi" w:hAnsiTheme="minorHAnsi" w:cstheme="minorHAnsi"/>
          <w:sz w:val="22"/>
          <w:szCs w:val="22"/>
        </w:rPr>
        <w:t>Agreement</w:t>
      </w:r>
      <w:r w:rsidRPr="00AD163C">
        <w:rPr>
          <w:rFonts w:asciiTheme="minorHAnsi" w:hAnsiTheme="minorHAnsi" w:cstheme="minorHAnsi"/>
          <w:sz w:val="22"/>
          <w:szCs w:val="22"/>
        </w:rPr>
        <w:t xml:space="preserve">, </w:t>
      </w:r>
      <w:r w:rsidRPr="00AD163C">
        <w:rPr>
          <w:rFonts w:asciiTheme="minorHAnsi" w:hAnsiTheme="minorHAnsi" w:cstheme="minorHAnsi"/>
          <w:sz w:val="22"/>
          <w:szCs w:val="22"/>
        </w:rPr>
        <w:lastRenderedPageBreak/>
        <w:t>continue to hinder BiH’s development, exacerbating political fragmentation, economic pressures, and societal mistrust.</w:t>
      </w:r>
    </w:p>
    <w:p w14:paraId="4F45E9DF" w14:textId="33BF618C" w:rsidR="00AD163C" w:rsidRPr="00AD163C" w:rsidRDefault="00AD163C" w:rsidP="00AD163C">
      <w:pPr>
        <w:pStyle w:val="CommentText"/>
        <w:spacing w:before="120" w:after="120"/>
        <w:jc w:val="both"/>
        <w:rPr>
          <w:rFonts w:asciiTheme="minorHAnsi" w:hAnsiTheme="minorHAnsi" w:cstheme="minorHAnsi"/>
          <w:sz w:val="22"/>
          <w:szCs w:val="22"/>
        </w:rPr>
      </w:pPr>
      <w:r w:rsidRPr="00AD163C">
        <w:rPr>
          <w:rFonts w:asciiTheme="minorHAnsi" w:hAnsiTheme="minorHAnsi" w:cstheme="minorHAnsi"/>
          <w:sz w:val="22"/>
          <w:szCs w:val="22"/>
        </w:rPr>
        <w:t>The continued prominence of divisive narratives, often linked to ethnic identity, historical grievances, and political rhetoric, presents a significant barrier to fostering mutual trust and cooperation among B</w:t>
      </w:r>
      <w:r w:rsidR="00756BCD">
        <w:rPr>
          <w:rFonts w:asciiTheme="minorHAnsi" w:hAnsiTheme="minorHAnsi" w:cstheme="minorHAnsi"/>
          <w:sz w:val="22"/>
          <w:szCs w:val="22"/>
        </w:rPr>
        <w:t>I</w:t>
      </w:r>
      <w:r w:rsidRPr="00AD163C">
        <w:rPr>
          <w:rFonts w:asciiTheme="minorHAnsi" w:hAnsiTheme="minorHAnsi" w:cstheme="minorHAnsi"/>
          <w:sz w:val="22"/>
          <w:szCs w:val="22"/>
        </w:rPr>
        <w:t>H’s diverse groups. These narratives, amplified by media and political leaders, contribute to a culture of fear, mistrust, and exclusion, particularly among marginalized groups such as women, youth, and ethnic minorities. This situation undermines efforts toward reconciliation, sustainable peace, and democratic governance, which are essential for B</w:t>
      </w:r>
      <w:r w:rsidR="00EC59AA">
        <w:rPr>
          <w:rFonts w:asciiTheme="minorHAnsi" w:hAnsiTheme="minorHAnsi" w:cstheme="minorHAnsi"/>
          <w:sz w:val="22"/>
          <w:szCs w:val="22"/>
        </w:rPr>
        <w:t>I</w:t>
      </w:r>
      <w:r w:rsidRPr="00AD163C">
        <w:rPr>
          <w:rFonts w:asciiTheme="minorHAnsi" w:hAnsiTheme="minorHAnsi" w:cstheme="minorHAnsi"/>
          <w:sz w:val="22"/>
          <w:szCs w:val="22"/>
        </w:rPr>
        <w:t>H’s EU integration process.</w:t>
      </w:r>
    </w:p>
    <w:p w14:paraId="0A704835" w14:textId="77777777" w:rsidR="00AD163C" w:rsidRDefault="00AD163C" w:rsidP="00AD163C">
      <w:pPr>
        <w:pStyle w:val="CommentText"/>
        <w:spacing w:before="120" w:after="120"/>
        <w:jc w:val="both"/>
        <w:rPr>
          <w:rFonts w:asciiTheme="minorHAnsi" w:hAnsiTheme="minorHAnsi" w:cstheme="minorHAnsi"/>
          <w:sz w:val="22"/>
          <w:szCs w:val="22"/>
        </w:rPr>
      </w:pPr>
      <w:r w:rsidRPr="00AD163C">
        <w:rPr>
          <w:rFonts w:asciiTheme="minorHAnsi" w:hAnsiTheme="minorHAnsi" w:cstheme="minorHAnsi"/>
          <w:sz w:val="22"/>
          <w:szCs w:val="22"/>
        </w:rPr>
        <w:t>In this context, the need for initiatives that promote social cohesion, counter divisive narratives, and build resilience against polarization is more pressing than ever. Social cohesion and the ability to address divisive narratives are fundamental to building a unified, resilient society where democratic values and inclusive governance can thrive. International development organizations, including UN agencies and EU bodies, require accurate, reliable data to effectively plan and implement programs aimed at resolving these challenges. The ability to assess the underlying causes of division and identify communities at risk of further polarization is essential for designing targeted, context-specific interventions that can foster trust, reduce tensions, and promote inclusivity.</w:t>
      </w:r>
    </w:p>
    <w:p w14:paraId="7B669FED" w14:textId="2FA8EB10" w:rsidR="00756BCD" w:rsidRDefault="00756BCD" w:rsidP="00AD163C">
      <w:pPr>
        <w:pStyle w:val="CommentText"/>
        <w:spacing w:before="120" w:after="120"/>
        <w:jc w:val="both"/>
        <w:rPr>
          <w:rFonts w:asciiTheme="minorHAnsi" w:hAnsiTheme="minorHAnsi" w:cstheme="minorHAnsi"/>
          <w:sz w:val="22"/>
          <w:szCs w:val="22"/>
        </w:rPr>
      </w:pPr>
      <w:r w:rsidRPr="00756BCD">
        <w:rPr>
          <w:rFonts w:asciiTheme="minorHAnsi" w:hAnsiTheme="minorHAnsi" w:cstheme="minorHAnsi"/>
          <w:sz w:val="22"/>
          <w:szCs w:val="22"/>
        </w:rPr>
        <w:t>Without a clear, data-driven understanding of the root causes of these divisions, international organizations risk implementing one-size-fits-all solutions that fail to address local dynamics or produce lasting results. This is particularly important as B</w:t>
      </w:r>
      <w:r w:rsidR="00C951D9">
        <w:rPr>
          <w:rFonts w:asciiTheme="minorHAnsi" w:hAnsiTheme="minorHAnsi" w:cstheme="minorHAnsi"/>
          <w:sz w:val="22"/>
          <w:szCs w:val="22"/>
        </w:rPr>
        <w:t>I</w:t>
      </w:r>
      <w:r w:rsidRPr="00756BCD">
        <w:rPr>
          <w:rFonts w:asciiTheme="minorHAnsi" w:hAnsiTheme="minorHAnsi" w:cstheme="minorHAnsi"/>
          <w:sz w:val="22"/>
          <w:szCs w:val="22"/>
        </w:rPr>
        <w:t>H moves closer to meeting the necessary EU integration criteria, where a more cohesive and resilient society will be crucial for the country’s stability. Efforts to promote social cohesion are integral to both B</w:t>
      </w:r>
      <w:r w:rsidR="00C951D9">
        <w:rPr>
          <w:rFonts w:asciiTheme="minorHAnsi" w:hAnsiTheme="minorHAnsi" w:cstheme="minorHAnsi"/>
          <w:sz w:val="22"/>
          <w:szCs w:val="22"/>
        </w:rPr>
        <w:t>I</w:t>
      </w:r>
      <w:r w:rsidRPr="00756BCD">
        <w:rPr>
          <w:rFonts w:asciiTheme="minorHAnsi" w:hAnsiTheme="minorHAnsi" w:cstheme="minorHAnsi"/>
          <w:sz w:val="22"/>
          <w:szCs w:val="22"/>
        </w:rPr>
        <w:t>H’s internal development and its integration into the European community. Through evidence-based analysis and localized interventions, international development organizations can support B</w:t>
      </w:r>
      <w:r w:rsidR="00C951D9">
        <w:rPr>
          <w:rFonts w:asciiTheme="minorHAnsi" w:hAnsiTheme="minorHAnsi" w:cstheme="minorHAnsi"/>
          <w:sz w:val="22"/>
          <w:szCs w:val="22"/>
        </w:rPr>
        <w:t>I</w:t>
      </w:r>
      <w:r w:rsidRPr="00756BCD">
        <w:rPr>
          <w:rFonts w:asciiTheme="minorHAnsi" w:hAnsiTheme="minorHAnsi" w:cstheme="minorHAnsi"/>
          <w:sz w:val="22"/>
          <w:szCs w:val="22"/>
        </w:rPr>
        <w:t>H in overcoming its social and political divisions, contributing to a more democratic, stable, and unified society</w:t>
      </w:r>
      <w:r w:rsidR="00C951D9">
        <w:rPr>
          <w:rFonts w:asciiTheme="minorHAnsi" w:hAnsiTheme="minorHAnsi" w:cstheme="minorHAnsi"/>
          <w:sz w:val="22"/>
          <w:szCs w:val="22"/>
        </w:rPr>
        <w:t>.</w:t>
      </w:r>
    </w:p>
    <w:p w14:paraId="1C5421AC" w14:textId="77777777" w:rsidR="00C951D9" w:rsidRPr="00AD163C" w:rsidRDefault="00C951D9" w:rsidP="00AD163C">
      <w:pPr>
        <w:pStyle w:val="CommentText"/>
        <w:spacing w:before="120" w:after="120"/>
        <w:jc w:val="both"/>
        <w:rPr>
          <w:rFonts w:asciiTheme="minorHAnsi" w:hAnsiTheme="minorHAnsi" w:cstheme="minorHAnsi"/>
          <w:sz w:val="22"/>
          <w:szCs w:val="22"/>
        </w:rPr>
      </w:pPr>
    </w:p>
    <w:p w14:paraId="242B13B8" w14:textId="638B31D9" w:rsidR="005B6422" w:rsidRPr="00753A51" w:rsidRDefault="005B6422" w:rsidP="005B6422">
      <w:pPr>
        <w:pStyle w:val="Heading1"/>
        <w:shd w:val="clear" w:color="auto" w:fill="44546A" w:themeFill="text2"/>
        <w:spacing w:before="120" w:after="120"/>
        <w:rPr>
          <w:rFonts w:asciiTheme="minorHAnsi" w:hAnsiTheme="minorHAnsi" w:cstheme="minorHAnsi"/>
          <w:caps/>
          <w:color w:val="FFFFFF" w:themeColor="background1"/>
          <w:sz w:val="22"/>
          <w:szCs w:val="22"/>
          <w:lang w:val="en-GB"/>
        </w:rPr>
      </w:pPr>
      <w:bookmarkStart w:id="23" w:name="_Toc522004552"/>
      <w:bookmarkStart w:id="24" w:name="_Toc225409786"/>
      <w:r w:rsidRPr="00753A51">
        <w:rPr>
          <w:rFonts w:asciiTheme="minorHAnsi" w:hAnsiTheme="minorHAnsi" w:cstheme="minorHAnsi"/>
          <w:caps/>
          <w:color w:val="FFFFFF" w:themeColor="background1"/>
          <w:sz w:val="22"/>
          <w:szCs w:val="22"/>
          <w:lang w:val="en-GB"/>
        </w:rPr>
        <w:t xml:space="preserve">Chapter 1 - </w:t>
      </w:r>
      <w:bookmarkEnd w:id="23"/>
      <w:r w:rsidR="0060500E">
        <w:rPr>
          <w:rFonts w:asciiTheme="minorHAnsi" w:hAnsiTheme="minorHAnsi" w:cstheme="minorHAnsi"/>
          <w:caps/>
          <w:color w:val="FFFFFF" w:themeColor="background1"/>
          <w:sz w:val="22"/>
          <w:szCs w:val="22"/>
          <w:lang w:val="en-GB"/>
        </w:rPr>
        <w:t>Stakeholder</w:t>
      </w:r>
      <w:r w:rsidR="006D3D44">
        <w:rPr>
          <w:rFonts w:asciiTheme="minorHAnsi" w:hAnsiTheme="minorHAnsi" w:cstheme="minorHAnsi"/>
          <w:caps/>
          <w:color w:val="FFFFFF" w:themeColor="background1"/>
          <w:sz w:val="22"/>
          <w:szCs w:val="22"/>
          <w:lang w:val="en-GB"/>
        </w:rPr>
        <w:t xml:space="preserve"> </w:t>
      </w:r>
      <w:r w:rsidR="002A0EEB">
        <w:rPr>
          <w:rFonts w:asciiTheme="minorHAnsi" w:hAnsiTheme="minorHAnsi" w:cstheme="minorHAnsi"/>
          <w:caps/>
          <w:color w:val="FFFFFF" w:themeColor="background1"/>
          <w:sz w:val="22"/>
          <w:szCs w:val="22"/>
          <w:lang w:val="en-GB"/>
        </w:rPr>
        <w:t>Engagement</w:t>
      </w:r>
      <w:bookmarkEnd w:id="24"/>
      <w:r w:rsidR="002A0EEB">
        <w:rPr>
          <w:rFonts w:asciiTheme="minorHAnsi" w:hAnsiTheme="minorHAnsi" w:cstheme="minorHAnsi"/>
          <w:caps/>
          <w:color w:val="FFFFFF" w:themeColor="background1"/>
          <w:sz w:val="22"/>
          <w:szCs w:val="22"/>
          <w:lang w:val="en-GB"/>
        </w:rPr>
        <w:t xml:space="preserve"> </w:t>
      </w:r>
    </w:p>
    <w:p w14:paraId="666AB3F0" w14:textId="77777777" w:rsidR="00984831" w:rsidRDefault="00984831" w:rsidP="003A04B2">
      <w:pPr>
        <w:pStyle w:val="CommentText"/>
        <w:spacing w:before="120" w:after="120"/>
        <w:jc w:val="both"/>
        <w:rPr>
          <w:rFonts w:asciiTheme="minorHAnsi" w:hAnsiTheme="minorHAnsi" w:cstheme="minorBidi"/>
          <w:spacing w:val="-4"/>
          <w:sz w:val="22"/>
          <w:szCs w:val="22"/>
          <w:lang w:eastAsia="zh-CN"/>
        </w:rPr>
      </w:pPr>
      <w:r w:rsidRPr="00984831">
        <w:rPr>
          <w:rFonts w:asciiTheme="minorHAnsi" w:hAnsiTheme="minorHAnsi" w:cstheme="minorBidi"/>
          <w:spacing w:val="-4"/>
          <w:sz w:val="22"/>
          <w:szCs w:val="22"/>
          <w:lang w:eastAsia="zh-CN"/>
        </w:rPr>
        <w:t>At the initial stage of SCORE project implementation, key partners were identified and engaged to establish a strong and well-coordinated foundation for delivery, clearly defining their roles in supporting the rollout of project activities. By combining international expertise, local knowledge, and institutional support from the outset, the project is well-positioned to respond to the complex realities of social cohesion, governance, and reconciliation in Bosnia and Herzegovina.</w:t>
      </w:r>
    </w:p>
    <w:p w14:paraId="3F13A019" w14:textId="77777777" w:rsidR="00984831" w:rsidRDefault="00984831" w:rsidP="00BE465B">
      <w:pPr>
        <w:pStyle w:val="CommentText"/>
        <w:spacing w:before="120" w:after="120"/>
        <w:jc w:val="both"/>
        <w:rPr>
          <w:rFonts w:asciiTheme="minorHAnsi" w:hAnsiTheme="minorHAnsi" w:cstheme="minorBidi"/>
          <w:spacing w:val="-4"/>
          <w:sz w:val="22"/>
          <w:szCs w:val="22"/>
          <w:lang w:eastAsia="zh-CN"/>
        </w:rPr>
      </w:pPr>
      <w:r w:rsidRPr="00984831">
        <w:rPr>
          <w:rFonts w:asciiTheme="minorHAnsi" w:hAnsiTheme="minorHAnsi" w:cstheme="minorBidi"/>
          <w:spacing w:val="-4"/>
          <w:sz w:val="22"/>
          <w:szCs w:val="22"/>
          <w:lang w:eastAsia="zh-CN"/>
        </w:rPr>
        <w:t>From the outset of implementation, the SCORE project has brought together a diverse group of partners, each contributing in a complementary and mutually reinforcing manner.</w:t>
      </w:r>
    </w:p>
    <w:p w14:paraId="601D3B07" w14:textId="565AFDE3" w:rsidR="00BA43AD" w:rsidRDefault="002E3DB2" w:rsidP="001A3F6E">
      <w:pPr>
        <w:pStyle w:val="CommentText"/>
        <w:spacing w:before="120" w:after="120"/>
        <w:jc w:val="both"/>
        <w:rPr>
          <w:rFonts w:asciiTheme="minorHAnsi" w:hAnsiTheme="minorHAnsi" w:cstheme="minorBidi"/>
          <w:spacing w:val="-4"/>
          <w:sz w:val="22"/>
          <w:szCs w:val="22"/>
          <w:lang w:eastAsia="zh-CN"/>
        </w:rPr>
      </w:pPr>
      <w:r w:rsidRPr="00A45980">
        <w:rPr>
          <w:rFonts w:asciiTheme="minorHAnsi" w:hAnsiTheme="minorHAnsi" w:cstheme="minorBidi"/>
          <w:b/>
          <w:bCs/>
          <w:spacing w:val="-4"/>
          <w:sz w:val="22"/>
          <w:szCs w:val="22"/>
          <w:lang w:eastAsia="zh-CN"/>
        </w:rPr>
        <w:t>Center for Social Cohesion and Development</w:t>
      </w:r>
      <w:r w:rsidR="00984831" w:rsidRPr="00A45980">
        <w:rPr>
          <w:rFonts w:asciiTheme="minorHAnsi" w:hAnsiTheme="minorHAnsi" w:cstheme="minorBidi"/>
          <w:b/>
          <w:bCs/>
          <w:spacing w:val="-4"/>
          <w:sz w:val="22"/>
          <w:szCs w:val="22"/>
          <w:lang w:eastAsia="zh-CN"/>
        </w:rPr>
        <w:t xml:space="preserve"> (</w:t>
      </w:r>
      <w:proofErr w:type="spellStart"/>
      <w:r w:rsidR="00984831" w:rsidRPr="00A45980">
        <w:rPr>
          <w:rFonts w:asciiTheme="minorHAnsi" w:hAnsiTheme="minorHAnsi" w:cstheme="minorBidi"/>
          <w:b/>
          <w:bCs/>
          <w:spacing w:val="-4"/>
          <w:sz w:val="22"/>
          <w:szCs w:val="22"/>
          <w:lang w:eastAsia="zh-CN"/>
        </w:rPr>
        <w:t>SeeD</w:t>
      </w:r>
      <w:proofErr w:type="spellEnd"/>
      <w:r w:rsidR="00984831" w:rsidRPr="00A45980">
        <w:rPr>
          <w:rFonts w:asciiTheme="minorHAnsi" w:hAnsiTheme="minorHAnsi" w:cstheme="minorBidi"/>
          <w:b/>
          <w:bCs/>
          <w:spacing w:val="-4"/>
          <w:sz w:val="22"/>
          <w:szCs w:val="22"/>
          <w:lang w:eastAsia="zh-CN"/>
        </w:rPr>
        <w:t>)</w:t>
      </w:r>
      <w:r w:rsidRPr="002E3DB2">
        <w:rPr>
          <w:rFonts w:asciiTheme="minorHAnsi" w:hAnsiTheme="minorHAnsi" w:cstheme="minorBidi"/>
          <w:spacing w:val="-4"/>
          <w:sz w:val="22"/>
          <w:szCs w:val="22"/>
          <w:lang w:eastAsia="zh-CN"/>
        </w:rPr>
        <w:t xml:space="preserve"> is </w:t>
      </w:r>
      <w:r w:rsidR="00984831" w:rsidRPr="00984831">
        <w:rPr>
          <w:rFonts w:asciiTheme="minorHAnsi" w:hAnsiTheme="minorHAnsi" w:cstheme="minorBidi"/>
          <w:spacing w:val="-4"/>
          <w:sz w:val="22"/>
          <w:szCs w:val="22"/>
          <w:lang w:eastAsia="zh-CN"/>
        </w:rPr>
        <w:t xml:space="preserve">the main implementing partner, engaged through a responsible party agreement. </w:t>
      </w:r>
      <w:r w:rsidR="00984831">
        <w:rPr>
          <w:rFonts w:asciiTheme="minorHAnsi" w:hAnsiTheme="minorHAnsi" w:cstheme="minorBidi"/>
          <w:spacing w:val="-4"/>
          <w:sz w:val="22"/>
          <w:szCs w:val="22"/>
          <w:lang w:eastAsia="zh-CN"/>
        </w:rPr>
        <w:t xml:space="preserve">With strong experience </w:t>
      </w:r>
      <w:r w:rsidRPr="002E3DB2">
        <w:rPr>
          <w:rFonts w:asciiTheme="minorHAnsi" w:hAnsiTheme="minorHAnsi" w:cstheme="minorBidi"/>
          <w:spacing w:val="-4"/>
          <w:sz w:val="22"/>
          <w:szCs w:val="22"/>
          <w:lang w:eastAsia="zh-CN"/>
        </w:rPr>
        <w:t>in conflict resolution, social cohesion, and research in post-conflict societies</w:t>
      </w:r>
      <w:r w:rsidR="0076389A">
        <w:rPr>
          <w:rFonts w:asciiTheme="minorHAnsi" w:hAnsiTheme="minorHAnsi" w:cstheme="minorBidi"/>
          <w:spacing w:val="-4"/>
          <w:sz w:val="22"/>
          <w:szCs w:val="22"/>
          <w:lang w:eastAsia="zh-CN"/>
        </w:rPr>
        <w:t>,</w:t>
      </w:r>
      <w:r w:rsidR="00984831">
        <w:rPr>
          <w:rFonts w:asciiTheme="minorHAnsi" w:hAnsiTheme="minorHAnsi" w:cstheme="minorBidi"/>
          <w:spacing w:val="-4"/>
          <w:sz w:val="22"/>
          <w:szCs w:val="22"/>
          <w:lang w:eastAsia="zh-CN"/>
        </w:rPr>
        <w:t xml:space="preserve"> Seed </w:t>
      </w:r>
      <w:r w:rsidR="00785EC9">
        <w:rPr>
          <w:rFonts w:asciiTheme="minorHAnsi" w:hAnsiTheme="minorHAnsi" w:cstheme="minorBidi"/>
          <w:spacing w:val="-4"/>
          <w:sz w:val="22"/>
          <w:szCs w:val="22"/>
          <w:lang w:eastAsia="zh-CN"/>
        </w:rPr>
        <w:t>ensures</w:t>
      </w:r>
      <w:r w:rsidR="0076389A">
        <w:rPr>
          <w:rFonts w:asciiTheme="minorHAnsi" w:hAnsiTheme="minorHAnsi" w:cstheme="minorBidi"/>
          <w:spacing w:val="-4"/>
          <w:sz w:val="22"/>
          <w:szCs w:val="22"/>
          <w:lang w:eastAsia="zh-CN"/>
        </w:rPr>
        <w:t xml:space="preserve"> the methodological guidance and </w:t>
      </w:r>
      <w:r w:rsidR="00785EC9">
        <w:rPr>
          <w:rFonts w:asciiTheme="minorHAnsi" w:hAnsiTheme="minorHAnsi" w:cstheme="minorBidi"/>
          <w:spacing w:val="-4"/>
          <w:sz w:val="22"/>
          <w:szCs w:val="22"/>
          <w:lang w:eastAsia="zh-CN"/>
        </w:rPr>
        <w:t>support</w:t>
      </w:r>
      <w:r w:rsidR="00E83C1E">
        <w:rPr>
          <w:rFonts w:asciiTheme="minorHAnsi" w:hAnsiTheme="minorHAnsi" w:cstheme="minorBidi"/>
          <w:spacing w:val="-4"/>
          <w:sz w:val="22"/>
          <w:szCs w:val="22"/>
          <w:lang w:eastAsia="zh-CN"/>
        </w:rPr>
        <w:t>,</w:t>
      </w:r>
      <w:r w:rsidR="00984831">
        <w:rPr>
          <w:rFonts w:asciiTheme="minorHAnsi" w:hAnsiTheme="minorHAnsi" w:cstheme="minorBidi"/>
          <w:spacing w:val="-4"/>
          <w:sz w:val="22"/>
          <w:szCs w:val="22"/>
          <w:lang w:eastAsia="zh-CN"/>
        </w:rPr>
        <w:t xml:space="preserve"> </w:t>
      </w:r>
      <w:r w:rsidR="00984831" w:rsidRPr="00984831">
        <w:rPr>
          <w:rFonts w:asciiTheme="minorHAnsi" w:hAnsiTheme="minorHAnsi" w:cstheme="minorBidi"/>
          <w:spacing w:val="-4"/>
          <w:sz w:val="22"/>
          <w:szCs w:val="22"/>
          <w:lang w:eastAsia="zh-CN"/>
        </w:rPr>
        <w:t>and ensures that the research approach is sensitive to the local context.</w:t>
      </w:r>
      <w:r w:rsidR="00984831">
        <w:rPr>
          <w:rFonts w:asciiTheme="minorHAnsi" w:hAnsiTheme="minorHAnsi" w:cstheme="minorBidi"/>
          <w:spacing w:val="-4"/>
          <w:sz w:val="22"/>
          <w:szCs w:val="22"/>
          <w:lang w:eastAsia="zh-CN"/>
        </w:rPr>
        <w:t xml:space="preserve"> Following up on </w:t>
      </w:r>
      <w:r w:rsidR="00081B37" w:rsidRPr="00081B37">
        <w:rPr>
          <w:rFonts w:asciiTheme="minorHAnsi" w:hAnsiTheme="minorHAnsi" w:cstheme="minorBidi"/>
          <w:spacing w:val="-4"/>
          <w:sz w:val="22"/>
          <w:szCs w:val="22"/>
          <w:lang w:eastAsia="zh-CN"/>
        </w:rPr>
        <w:t xml:space="preserve">studies conducted in 2014 and 2020 </w:t>
      </w:r>
      <w:r w:rsidR="00785EC9">
        <w:rPr>
          <w:rFonts w:asciiTheme="minorHAnsi" w:hAnsiTheme="minorHAnsi" w:cstheme="minorBidi"/>
          <w:spacing w:val="-4"/>
          <w:sz w:val="22"/>
          <w:szCs w:val="22"/>
          <w:lang w:eastAsia="zh-CN"/>
        </w:rPr>
        <w:t xml:space="preserve">that </w:t>
      </w:r>
      <w:r w:rsidR="00081B37" w:rsidRPr="00081B37">
        <w:rPr>
          <w:rFonts w:asciiTheme="minorHAnsi" w:hAnsiTheme="minorHAnsi" w:cstheme="minorBidi"/>
          <w:spacing w:val="-4"/>
          <w:sz w:val="22"/>
          <w:szCs w:val="22"/>
          <w:lang w:eastAsia="zh-CN"/>
        </w:rPr>
        <w:t>utilized the SCORE Index</w:t>
      </w:r>
      <w:r w:rsidR="00081B37">
        <w:rPr>
          <w:rFonts w:asciiTheme="minorHAnsi" w:hAnsiTheme="minorHAnsi" w:cstheme="minorBidi"/>
          <w:spacing w:val="-4"/>
          <w:sz w:val="22"/>
          <w:szCs w:val="22"/>
          <w:lang w:eastAsia="zh-CN"/>
        </w:rPr>
        <w:t xml:space="preserve"> in Bosnia and Herzegovina</w:t>
      </w:r>
      <w:r w:rsidR="00785EC9">
        <w:rPr>
          <w:rFonts w:asciiTheme="minorHAnsi" w:hAnsiTheme="minorHAnsi" w:cstheme="minorBidi"/>
          <w:spacing w:val="-4"/>
          <w:sz w:val="22"/>
          <w:szCs w:val="22"/>
          <w:lang w:eastAsia="zh-CN"/>
        </w:rPr>
        <w:t>,</w:t>
      </w:r>
      <w:r w:rsidRPr="002E3DB2">
        <w:rPr>
          <w:rFonts w:asciiTheme="minorHAnsi" w:hAnsiTheme="minorHAnsi" w:cstheme="minorBidi"/>
          <w:spacing w:val="-4"/>
          <w:sz w:val="22"/>
          <w:szCs w:val="22"/>
          <w:lang w:eastAsia="zh-CN"/>
        </w:rPr>
        <w:t xml:space="preserve"> </w:t>
      </w:r>
      <w:proofErr w:type="spellStart"/>
      <w:r w:rsidRPr="002E3DB2">
        <w:rPr>
          <w:rFonts w:asciiTheme="minorHAnsi" w:hAnsiTheme="minorHAnsi" w:cstheme="minorBidi"/>
          <w:spacing w:val="-4"/>
          <w:sz w:val="22"/>
          <w:szCs w:val="22"/>
          <w:lang w:eastAsia="zh-CN"/>
        </w:rPr>
        <w:t>SeeD</w:t>
      </w:r>
      <w:r w:rsidR="00081B37">
        <w:rPr>
          <w:rFonts w:asciiTheme="minorHAnsi" w:hAnsiTheme="minorHAnsi" w:cstheme="minorBidi"/>
          <w:spacing w:val="-4"/>
          <w:sz w:val="22"/>
          <w:szCs w:val="22"/>
          <w:lang w:eastAsia="zh-CN"/>
        </w:rPr>
        <w:t>s</w:t>
      </w:r>
      <w:proofErr w:type="spellEnd"/>
      <w:r w:rsidR="00081B37" w:rsidRPr="00081B37">
        <w:rPr>
          <w:rFonts w:asciiTheme="minorHAnsi" w:hAnsiTheme="minorHAnsi" w:cstheme="minorBidi"/>
          <w:spacing w:val="-4"/>
          <w:sz w:val="22"/>
          <w:szCs w:val="22"/>
          <w:lang w:eastAsia="zh-CN"/>
        </w:rPr>
        <w:t xml:space="preserve"> understanding of Bosnia and Herzegovina’s social and political dynamics helps ensure that findings are both relevant and practical</w:t>
      </w:r>
      <w:r w:rsidR="00161D5C">
        <w:rPr>
          <w:rFonts w:asciiTheme="minorHAnsi" w:hAnsiTheme="minorHAnsi" w:cstheme="minorBidi"/>
          <w:spacing w:val="-4"/>
          <w:sz w:val="22"/>
          <w:szCs w:val="22"/>
          <w:lang w:eastAsia="zh-CN"/>
        </w:rPr>
        <w:t xml:space="preserve"> </w:t>
      </w:r>
    </w:p>
    <w:p w14:paraId="57655CDC" w14:textId="3A5D4740" w:rsidR="007A62B7" w:rsidRDefault="007A62B7" w:rsidP="001A3F6E">
      <w:pPr>
        <w:pStyle w:val="CommentText"/>
        <w:spacing w:before="120" w:after="120"/>
        <w:jc w:val="both"/>
        <w:rPr>
          <w:rFonts w:asciiTheme="minorHAnsi" w:hAnsiTheme="minorHAnsi" w:cstheme="minorBidi"/>
          <w:spacing w:val="-4"/>
          <w:sz w:val="22"/>
          <w:szCs w:val="22"/>
          <w:lang w:eastAsia="zh-CN"/>
        </w:rPr>
      </w:pPr>
      <w:r w:rsidRPr="00785EC9">
        <w:rPr>
          <w:rFonts w:asciiTheme="minorHAnsi" w:hAnsiTheme="minorHAnsi" w:cstheme="minorBidi"/>
          <w:b/>
          <w:bCs/>
          <w:spacing w:val="-4"/>
          <w:sz w:val="22"/>
          <w:szCs w:val="22"/>
          <w:lang w:eastAsia="zh-CN"/>
        </w:rPr>
        <w:t>Prism</w:t>
      </w:r>
      <w:r w:rsidR="00081B37" w:rsidRPr="00785EC9">
        <w:rPr>
          <w:rFonts w:asciiTheme="minorHAnsi" w:hAnsiTheme="minorHAnsi" w:cstheme="minorBidi"/>
          <w:b/>
          <w:bCs/>
          <w:spacing w:val="-4"/>
          <w:sz w:val="22"/>
          <w:szCs w:val="22"/>
          <w:lang w:eastAsia="zh-CN"/>
        </w:rPr>
        <w:t xml:space="preserve"> Research</w:t>
      </w:r>
      <w:r w:rsidRPr="007A62B7">
        <w:rPr>
          <w:rFonts w:asciiTheme="minorHAnsi" w:hAnsiTheme="minorHAnsi" w:cstheme="minorBidi"/>
          <w:spacing w:val="-4"/>
          <w:sz w:val="22"/>
          <w:szCs w:val="22"/>
          <w:lang w:eastAsia="zh-CN"/>
        </w:rPr>
        <w:t xml:space="preserve">, the local research partner, was selected through a transparent and open procurement procedure for its expertise in conducting research tailored to the local context. Their deep understanding of Bosnia and Herzegovina's socio-political dynamics ensures that the project’s findings are accurate and relevant. Prism has significant experience, having successfully conducted the previous two waves of the SCORE research, which provides them with a strong foundation in the methodology and context. This prior experience, coupled with their proven track record in research and data analysis, makes them an ideal partner for ensuring the effective collection, </w:t>
      </w:r>
      <w:r w:rsidR="004A4897">
        <w:rPr>
          <w:rFonts w:asciiTheme="minorHAnsi" w:hAnsiTheme="minorHAnsi" w:cstheme="minorBidi"/>
          <w:spacing w:val="-4"/>
          <w:sz w:val="22"/>
          <w:szCs w:val="22"/>
          <w:lang w:eastAsia="zh-CN"/>
        </w:rPr>
        <w:t>processing</w:t>
      </w:r>
      <w:r w:rsidR="00CD566A">
        <w:rPr>
          <w:rFonts w:asciiTheme="minorHAnsi" w:hAnsiTheme="minorHAnsi" w:cstheme="minorBidi"/>
          <w:spacing w:val="-4"/>
          <w:sz w:val="22"/>
          <w:szCs w:val="22"/>
          <w:lang w:eastAsia="zh-CN"/>
        </w:rPr>
        <w:t>,</w:t>
      </w:r>
      <w:r w:rsidR="004A4897">
        <w:rPr>
          <w:rFonts w:asciiTheme="minorHAnsi" w:hAnsiTheme="minorHAnsi" w:cstheme="minorBidi"/>
          <w:spacing w:val="-4"/>
          <w:sz w:val="22"/>
          <w:szCs w:val="22"/>
          <w:lang w:eastAsia="zh-CN"/>
        </w:rPr>
        <w:t xml:space="preserve"> and initial </w:t>
      </w:r>
      <w:r w:rsidRPr="007A62B7">
        <w:rPr>
          <w:rFonts w:asciiTheme="minorHAnsi" w:hAnsiTheme="minorHAnsi" w:cstheme="minorBidi"/>
          <w:spacing w:val="-4"/>
          <w:sz w:val="22"/>
          <w:szCs w:val="22"/>
          <w:lang w:eastAsia="zh-CN"/>
        </w:rPr>
        <w:t>dissemination of data throughout the SCORE project.</w:t>
      </w:r>
    </w:p>
    <w:p w14:paraId="7243CB8C" w14:textId="7C32B584" w:rsidR="00F15824" w:rsidRPr="00F15824" w:rsidRDefault="00E95E5E" w:rsidP="00F15824">
      <w:pPr>
        <w:pStyle w:val="CommentText"/>
        <w:spacing w:before="120" w:after="120"/>
        <w:jc w:val="both"/>
        <w:rPr>
          <w:rFonts w:asciiTheme="minorHAnsi" w:hAnsiTheme="minorHAnsi" w:cstheme="minorBidi"/>
          <w:spacing w:val="-4"/>
          <w:sz w:val="22"/>
          <w:szCs w:val="22"/>
          <w:lang w:val="en-US" w:eastAsia="zh-CN"/>
        </w:rPr>
      </w:pPr>
      <w:r>
        <w:rPr>
          <w:rFonts w:asciiTheme="minorHAnsi" w:hAnsiTheme="minorHAnsi" w:cstheme="minorBidi"/>
          <w:b/>
          <w:bCs/>
          <w:spacing w:val="-4"/>
          <w:sz w:val="22"/>
          <w:szCs w:val="22"/>
          <w:lang w:eastAsia="zh-CN"/>
        </w:rPr>
        <w:t>L</w:t>
      </w:r>
      <w:r w:rsidR="00BE465B" w:rsidRPr="00785EC9">
        <w:rPr>
          <w:rFonts w:asciiTheme="minorHAnsi" w:hAnsiTheme="minorHAnsi" w:cstheme="minorBidi"/>
          <w:b/>
          <w:bCs/>
          <w:spacing w:val="-4"/>
          <w:sz w:val="22"/>
          <w:szCs w:val="22"/>
          <w:lang w:eastAsia="zh-CN"/>
        </w:rPr>
        <w:t>ocal governments (LGs)</w:t>
      </w:r>
      <w:r w:rsidR="00BE465B" w:rsidRPr="00BE465B">
        <w:rPr>
          <w:rFonts w:asciiTheme="minorHAnsi" w:hAnsiTheme="minorHAnsi" w:cstheme="minorBidi"/>
          <w:spacing w:val="-4"/>
          <w:sz w:val="22"/>
          <w:szCs w:val="22"/>
          <w:lang w:eastAsia="zh-CN"/>
        </w:rPr>
        <w:t xml:space="preserve"> play a</w:t>
      </w:r>
      <w:r>
        <w:rPr>
          <w:rFonts w:asciiTheme="minorHAnsi" w:hAnsiTheme="minorHAnsi" w:cstheme="minorBidi"/>
          <w:spacing w:val="-4"/>
          <w:sz w:val="22"/>
          <w:szCs w:val="22"/>
          <w:lang w:eastAsia="zh-CN"/>
        </w:rPr>
        <w:t xml:space="preserve">n important </w:t>
      </w:r>
      <w:r w:rsidR="00BE465B" w:rsidRPr="00BE465B">
        <w:rPr>
          <w:rFonts w:asciiTheme="minorHAnsi" w:hAnsiTheme="minorHAnsi" w:cstheme="minorBidi"/>
          <w:spacing w:val="-4"/>
          <w:sz w:val="22"/>
          <w:szCs w:val="22"/>
          <w:lang w:eastAsia="zh-CN"/>
        </w:rPr>
        <w:t>role in implementing the SCORE project</w:t>
      </w:r>
      <w:r w:rsidR="00081B37" w:rsidRPr="00081B37">
        <w:rPr>
          <w:rFonts w:asciiTheme="minorHAnsi" w:hAnsiTheme="minorHAnsi" w:cstheme="minorBidi"/>
          <w:spacing w:val="-4"/>
          <w:sz w:val="22"/>
          <w:szCs w:val="22"/>
          <w:lang w:eastAsia="zh-CN"/>
        </w:rPr>
        <w:t xml:space="preserve">, </w:t>
      </w:r>
      <w:r>
        <w:rPr>
          <w:rFonts w:asciiTheme="minorHAnsi" w:hAnsiTheme="minorHAnsi" w:cstheme="minorBidi"/>
          <w:spacing w:val="-4"/>
          <w:sz w:val="22"/>
          <w:szCs w:val="22"/>
          <w:lang w:eastAsia="zh-CN"/>
        </w:rPr>
        <w:t xml:space="preserve">supporting the project to reach out to communities and conduct a deeper dive on social cohesion in specific territories. </w:t>
      </w:r>
      <w:r w:rsidR="00BE465B" w:rsidRPr="00BE465B">
        <w:rPr>
          <w:rFonts w:asciiTheme="minorHAnsi" w:hAnsiTheme="minorHAnsi" w:cstheme="minorBidi"/>
          <w:spacing w:val="-4"/>
          <w:sz w:val="22"/>
          <w:szCs w:val="22"/>
          <w:lang w:eastAsia="zh-CN"/>
        </w:rPr>
        <w:t xml:space="preserve">The selection of these LGs was guided by a set of criteria that ensured geographic and demographic diversity, ethnic balance, and a strong local presence of civil society organizations (CSOs). The municipalities were selected based on their capacity to support </w:t>
      </w:r>
      <w:r w:rsidR="00BE465B" w:rsidRPr="00BE465B">
        <w:rPr>
          <w:rFonts w:asciiTheme="minorHAnsi" w:hAnsiTheme="minorHAnsi" w:cstheme="minorBidi"/>
          <w:spacing w:val="-4"/>
          <w:sz w:val="22"/>
          <w:szCs w:val="22"/>
          <w:lang w:eastAsia="zh-CN"/>
        </w:rPr>
        <w:lastRenderedPageBreak/>
        <w:t>the project’s objectives and their readiness to engage in social cohesion efforts. The ten selected LGs, including Brčko District</w:t>
      </w:r>
      <w:r w:rsidR="00AF6F20">
        <w:rPr>
          <w:rFonts w:asciiTheme="minorHAnsi" w:hAnsiTheme="minorHAnsi" w:cstheme="minorBidi"/>
          <w:spacing w:val="-4"/>
          <w:sz w:val="22"/>
          <w:szCs w:val="22"/>
          <w:lang w:eastAsia="zh-CN"/>
        </w:rPr>
        <w:t xml:space="preserve"> BIH</w:t>
      </w:r>
      <w:r w:rsidR="00BE465B" w:rsidRPr="00BE465B">
        <w:rPr>
          <w:rFonts w:asciiTheme="minorHAnsi" w:hAnsiTheme="minorHAnsi" w:cstheme="minorBidi"/>
          <w:spacing w:val="-4"/>
          <w:sz w:val="22"/>
          <w:szCs w:val="22"/>
          <w:lang w:eastAsia="zh-CN"/>
        </w:rPr>
        <w:t xml:space="preserve">, Velika Kladuša, Doboj, Mostar, Stolac, </w:t>
      </w:r>
      <w:proofErr w:type="spellStart"/>
      <w:r w:rsidR="00BE465B" w:rsidRPr="00BE465B">
        <w:rPr>
          <w:rFonts w:asciiTheme="minorHAnsi" w:hAnsiTheme="minorHAnsi" w:cstheme="minorBidi"/>
          <w:spacing w:val="-4"/>
          <w:sz w:val="22"/>
          <w:szCs w:val="22"/>
          <w:lang w:eastAsia="zh-CN"/>
        </w:rPr>
        <w:t>Teslić</w:t>
      </w:r>
      <w:proofErr w:type="spellEnd"/>
      <w:r w:rsidR="00BE465B" w:rsidRPr="00BE465B">
        <w:rPr>
          <w:rFonts w:asciiTheme="minorHAnsi" w:hAnsiTheme="minorHAnsi" w:cstheme="minorBidi"/>
          <w:spacing w:val="-4"/>
          <w:sz w:val="22"/>
          <w:szCs w:val="22"/>
          <w:lang w:eastAsia="zh-CN"/>
        </w:rPr>
        <w:t xml:space="preserve">, Srebrenica, </w:t>
      </w:r>
      <w:proofErr w:type="spellStart"/>
      <w:r w:rsidR="00BE465B" w:rsidRPr="00BE465B">
        <w:rPr>
          <w:rFonts w:asciiTheme="minorHAnsi" w:hAnsiTheme="minorHAnsi" w:cstheme="minorBidi"/>
          <w:spacing w:val="-4"/>
          <w:sz w:val="22"/>
          <w:szCs w:val="22"/>
          <w:lang w:eastAsia="zh-CN"/>
        </w:rPr>
        <w:t>Odžak</w:t>
      </w:r>
      <w:proofErr w:type="spellEnd"/>
      <w:r w:rsidR="00BE465B" w:rsidRPr="00BE465B">
        <w:rPr>
          <w:rFonts w:asciiTheme="minorHAnsi" w:hAnsiTheme="minorHAnsi" w:cstheme="minorBidi"/>
          <w:spacing w:val="-4"/>
          <w:sz w:val="22"/>
          <w:szCs w:val="22"/>
          <w:lang w:eastAsia="zh-CN"/>
        </w:rPr>
        <w:t xml:space="preserve">, </w:t>
      </w:r>
      <w:proofErr w:type="spellStart"/>
      <w:r w:rsidR="00BE465B" w:rsidRPr="00BE465B">
        <w:rPr>
          <w:rFonts w:asciiTheme="minorHAnsi" w:hAnsiTheme="minorHAnsi" w:cstheme="minorBidi"/>
          <w:spacing w:val="-4"/>
          <w:sz w:val="22"/>
          <w:szCs w:val="22"/>
          <w:lang w:eastAsia="zh-CN"/>
        </w:rPr>
        <w:t>Prnjavor</w:t>
      </w:r>
      <w:proofErr w:type="spellEnd"/>
      <w:r w:rsidR="00BE465B" w:rsidRPr="00BE465B">
        <w:rPr>
          <w:rFonts w:asciiTheme="minorHAnsi" w:hAnsiTheme="minorHAnsi" w:cstheme="minorBidi"/>
          <w:spacing w:val="-4"/>
          <w:sz w:val="22"/>
          <w:szCs w:val="22"/>
          <w:lang w:eastAsia="zh-CN"/>
        </w:rPr>
        <w:t xml:space="preserve">, and </w:t>
      </w:r>
      <w:proofErr w:type="spellStart"/>
      <w:r w:rsidR="00BE465B" w:rsidRPr="00BE465B">
        <w:rPr>
          <w:rFonts w:asciiTheme="minorHAnsi" w:hAnsiTheme="minorHAnsi" w:cstheme="minorBidi"/>
          <w:spacing w:val="-4"/>
          <w:sz w:val="22"/>
          <w:szCs w:val="22"/>
          <w:lang w:eastAsia="zh-CN"/>
        </w:rPr>
        <w:t>Jajce</w:t>
      </w:r>
      <w:proofErr w:type="spellEnd"/>
      <w:r w:rsidR="00BE465B" w:rsidRPr="00BE465B">
        <w:rPr>
          <w:rFonts w:asciiTheme="minorHAnsi" w:hAnsiTheme="minorHAnsi" w:cstheme="minorBidi"/>
          <w:spacing w:val="-4"/>
          <w:sz w:val="22"/>
          <w:szCs w:val="22"/>
          <w:lang w:eastAsia="zh-CN"/>
        </w:rPr>
        <w:t>, are diverse in terms of population size, ethnic composition, and socio-political context, ensuring that the project captures a wide range of governance and social cohesion challenges across BiH.</w:t>
      </w:r>
      <w:r w:rsidR="004A4897">
        <w:rPr>
          <w:rFonts w:asciiTheme="minorHAnsi" w:hAnsiTheme="minorHAnsi" w:cstheme="minorBidi"/>
          <w:spacing w:val="-4"/>
          <w:sz w:val="22"/>
          <w:szCs w:val="22"/>
          <w:lang w:eastAsia="zh-CN"/>
        </w:rPr>
        <w:t xml:space="preserve"> </w:t>
      </w:r>
    </w:p>
    <w:p w14:paraId="63DC6D06" w14:textId="670674C5" w:rsidR="00F15824" w:rsidRPr="00F15824" w:rsidRDefault="00F15824" w:rsidP="00F15824">
      <w:pPr>
        <w:pStyle w:val="CommentText"/>
        <w:spacing w:before="120" w:after="120"/>
        <w:jc w:val="both"/>
        <w:rPr>
          <w:rFonts w:asciiTheme="minorHAnsi" w:hAnsiTheme="minorHAnsi" w:cstheme="minorBidi"/>
          <w:spacing w:val="-4"/>
          <w:sz w:val="22"/>
          <w:szCs w:val="22"/>
          <w:lang w:val="en-US" w:eastAsia="zh-CN"/>
        </w:rPr>
      </w:pPr>
      <w:r w:rsidRPr="00F15824">
        <w:rPr>
          <w:rFonts w:asciiTheme="minorHAnsi" w:hAnsiTheme="minorHAnsi" w:cstheme="minorBidi"/>
          <w:spacing w:val="-4"/>
          <w:sz w:val="22"/>
          <w:szCs w:val="22"/>
          <w:lang w:val="en-US" w:eastAsia="zh-CN"/>
        </w:rPr>
        <w:t xml:space="preserve">In the initial stage of the project, </w:t>
      </w:r>
      <w:r w:rsidR="005D112E">
        <w:rPr>
          <w:rFonts w:asciiTheme="minorHAnsi" w:hAnsiTheme="minorHAnsi" w:cstheme="minorBidi"/>
          <w:spacing w:val="-4"/>
          <w:sz w:val="22"/>
          <w:szCs w:val="22"/>
          <w:lang w:val="en-US" w:eastAsia="zh-CN"/>
        </w:rPr>
        <w:t>L</w:t>
      </w:r>
      <w:r w:rsidRPr="00F15824">
        <w:rPr>
          <w:rFonts w:asciiTheme="minorHAnsi" w:hAnsiTheme="minorHAnsi" w:cstheme="minorBidi"/>
          <w:spacing w:val="-4"/>
          <w:sz w:val="22"/>
          <w:szCs w:val="22"/>
          <w:lang w:val="en-US" w:eastAsia="zh-CN"/>
        </w:rPr>
        <w:t xml:space="preserve">ocal </w:t>
      </w:r>
      <w:r w:rsidR="005D112E">
        <w:rPr>
          <w:rFonts w:asciiTheme="minorHAnsi" w:hAnsiTheme="minorHAnsi" w:cstheme="minorBidi"/>
          <w:spacing w:val="-4"/>
          <w:sz w:val="22"/>
          <w:szCs w:val="22"/>
          <w:lang w:val="en-US" w:eastAsia="zh-CN"/>
        </w:rPr>
        <w:t>D</w:t>
      </w:r>
      <w:r w:rsidRPr="00F15824">
        <w:rPr>
          <w:rFonts w:asciiTheme="minorHAnsi" w:hAnsiTheme="minorHAnsi" w:cstheme="minorBidi"/>
          <w:spacing w:val="-4"/>
          <w:sz w:val="22"/>
          <w:szCs w:val="22"/>
          <w:lang w:val="en-US" w:eastAsia="zh-CN"/>
        </w:rPr>
        <w:t xml:space="preserve">ialogue </w:t>
      </w:r>
      <w:r w:rsidR="005D112E">
        <w:rPr>
          <w:rFonts w:asciiTheme="minorHAnsi" w:hAnsiTheme="minorHAnsi" w:cstheme="minorBidi"/>
          <w:spacing w:val="-4"/>
          <w:sz w:val="22"/>
          <w:szCs w:val="22"/>
          <w:lang w:val="en-US" w:eastAsia="zh-CN"/>
        </w:rPr>
        <w:t>G</w:t>
      </w:r>
      <w:r w:rsidR="00516B1E">
        <w:rPr>
          <w:rFonts w:asciiTheme="minorHAnsi" w:hAnsiTheme="minorHAnsi" w:cstheme="minorBidi"/>
          <w:spacing w:val="-4"/>
          <w:sz w:val="22"/>
          <w:szCs w:val="22"/>
          <w:lang w:val="en-US" w:eastAsia="zh-CN"/>
        </w:rPr>
        <w:t>roups (LDGs)</w:t>
      </w:r>
      <w:r w:rsidR="00516B1E" w:rsidRPr="00F15824">
        <w:rPr>
          <w:rFonts w:asciiTheme="minorHAnsi" w:hAnsiTheme="minorHAnsi" w:cstheme="minorBidi"/>
          <w:spacing w:val="-4"/>
          <w:sz w:val="22"/>
          <w:szCs w:val="22"/>
          <w:lang w:val="en-US" w:eastAsia="zh-CN"/>
        </w:rPr>
        <w:t xml:space="preserve"> </w:t>
      </w:r>
      <w:r w:rsidRPr="00F15824">
        <w:rPr>
          <w:rFonts w:asciiTheme="minorHAnsi" w:hAnsiTheme="minorHAnsi" w:cstheme="minorBidi"/>
          <w:spacing w:val="-4"/>
          <w:sz w:val="22"/>
          <w:szCs w:val="22"/>
          <w:lang w:val="en-US" w:eastAsia="zh-CN"/>
        </w:rPr>
        <w:t xml:space="preserve">were established in each of the selected LGs to bring together stakeholders for discussions on social cohesion challenges at the community level. In the later phases of implementation, </w:t>
      </w:r>
      <w:r w:rsidR="00B8313F">
        <w:rPr>
          <w:rFonts w:asciiTheme="minorHAnsi" w:hAnsiTheme="minorHAnsi" w:cstheme="minorBidi"/>
          <w:spacing w:val="-4"/>
          <w:sz w:val="22"/>
          <w:szCs w:val="22"/>
          <w:lang w:val="en-US" w:eastAsia="zh-CN"/>
        </w:rPr>
        <w:t>LDGs</w:t>
      </w:r>
      <w:r w:rsidRPr="00F15824">
        <w:rPr>
          <w:rFonts w:asciiTheme="minorHAnsi" w:hAnsiTheme="minorHAnsi" w:cstheme="minorBidi"/>
          <w:spacing w:val="-4"/>
          <w:sz w:val="22"/>
          <w:szCs w:val="22"/>
          <w:lang w:val="en-US" w:eastAsia="zh-CN"/>
        </w:rPr>
        <w:t xml:space="preserve"> will guide the project’s planned support, ensuring that interventions</w:t>
      </w:r>
      <w:r w:rsidR="005D112E">
        <w:rPr>
          <w:rFonts w:asciiTheme="minorHAnsi" w:hAnsiTheme="minorHAnsi" w:cstheme="minorBidi"/>
          <w:spacing w:val="-4"/>
          <w:sz w:val="22"/>
          <w:szCs w:val="22"/>
          <w:lang w:val="en-US" w:eastAsia="zh-CN"/>
        </w:rPr>
        <w:t xml:space="preserve">, </w:t>
      </w:r>
      <w:r w:rsidRPr="00F15824">
        <w:rPr>
          <w:rFonts w:asciiTheme="minorHAnsi" w:hAnsiTheme="minorHAnsi" w:cstheme="minorBidi"/>
          <w:spacing w:val="-4"/>
          <w:sz w:val="22"/>
          <w:szCs w:val="22"/>
          <w:lang w:val="en-US" w:eastAsia="zh-CN"/>
        </w:rPr>
        <w:t>including targeted assistance, tailored activities, and capacity</w:t>
      </w:r>
      <w:r w:rsidRPr="00F15824">
        <w:rPr>
          <w:rFonts w:asciiTheme="minorHAnsi" w:hAnsiTheme="minorHAnsi" w:cstheme="minorBidi"/>
          <w:spacing w:val="-4"/>
          <w:sz w:val="22"/>
          <w:szCs w:val="22"/>
          <w:lang w:val="en-US" w:eastAsia="zh-CN"/>
        </w:rPr>
        <w:noBreakHyphen/>
        <w:t>building efforts</w:t>
      </w:r>
      <w:r w:rsidR="00AD1710">
        <w:rPr>
          <w:rFonts w:asciiTheme="minorHAnsi" w:hAnsiTheme="minorHAnsi" w:cstheme="minorBidi"/>
          <w:spacing w:val="-4"/>
          <w:sz w:val="22"/>
          <w:szCs w:val="22"/>
          <w:lang w:val="en-US" w:eastAsia="zh-CN"/>
        </w:rPr>
        <w:t xml:space="preserve">, </w:t>
      </w:r>
      <w:r w:rsidRPr="00F15824">
        <w:rPr>
          <w:rFonts w:asciiTheme="minorHAnsi" w:hAnsiTheme="minorHAnsi" w:cstheme="minorBidi"/>
          <w:spacing w:val="-4"/>
          <w:sz w:val="22"/>
          <w:szCs w:val="22"/>
          <w:lang w:val="en-US" w:eastAsia="zh-CN"/>
        </w:rPr>
        <w:t>are aligned with the specific needs of each locality.</w:t>
      </w:r>
      <w:r>
        <w:rPr>
          <w:rFonts w:asciiTheme="minorHAnsi" w:hAnsiTheme="minorHAnsi" w:cstheme="minorBidi"/>
          <w:spacing w:val="-4"/>
          <w:sz w:val="22"/>
          <w:szCs w:val="22"/>
          <w:lang w:val="en-US" w:eastAsia="zh-CN"/>
        </w:rPr>
        <w:t xml:space="preserve"> </w:t>
      </w:r>
      <w:r w:rsidRPr="00F15824">
        <w:rPr>
          <w:rFonts w:asciiTheme="minorHAnsi" w:hAnsiTheme="minorHAnsi" w:cstheme="minorBidi"/>
          <w:spacing w:val="-4"/>
          <w:sz w:val="22"/>
          <w:szCs w:val="22"/>
          <w:lang w:val="en-US" w:eastAsia="zh-CN"/>
        </w:rPr>
        <w:t>The comprehensive and strategic selection of LGs ensures that the SCORE project responds effectively to diverse local contexts, delivering impactful, locally driven solutions to governance and social cohesion challenges across Bosnia and Herzegovina.</w:t>
      </w:r>
    </w:p>
    <w:p w14:paraId="2C91AC93" w14:textId="7CB1B264" w:rsidR="00803276" w:rsidRDefault="002650DE" w:rsidP="007D44F8">
      <w:pPr>
        <w:pStyle w:val="CommentText"/>
        <w:spacing w:before="120" w:after="120"/>
        <w:jc w:val="both"/>
        <w:rPr>
          <w:rFonts w:asciiTheme="minorHAnsi" w:hAnsiTheme="minorHAnsi" w:cstheme="minorBidi"/>
          <w:spacing w:val="-4"/>
          <w:sz w:val="22"/>
          <w:szCs w:val="22"/>
          <w:lang w:eastAsia="zh-CN"/>
        </w:rPr>
      </w:pPr>
      <w:r w:rsidRPr="002F32B1">
        <w:rPr>
          <w:rFonts w:asciiTheme="minorHAnsi" w:hAnsiTheme="minorHAnsi" w:cstheme="minorBidi"/>
          <w:b/>
          <w:bCs/>
          <w:spacing w:val="-4"/>
          <w:sz w:val="22"/>
          <w:szCs w:val="22"/>
          <w:lang w:eastAsia="zh-CN"/>
        </w:rPr>
        <w:t>The Core Reflection Group (CRG)</w:t>
      </w:r>
      <w:r w:rsidRPr="002650DE">
        <w:rPr>
          <w:rFonts w:asciiTheme="minorHAnsi" w:hAnsiTheme="minorHAnsi" w:cstheme="minorBidi"/>
          <w:spacing w:val="-4"/>
          <w:sz w:val="22"/>
          <w:szCs w:val="22"/>
          <w:lang w:eastAsia="zh-CN"/>
        </w:rPr>
        <w:t xml:space="preserve"> under the SCORE project plays a vital role in guiding the strategic direction and ensuring the effective implementation of the </w:t>
      </w:r>
      <w:r w:rsidR="00041594">
        <w:rPr>
          <w:rFonts w:asciiTheme="minorHAnsi" w:hAnsiTheme="minorHAnsi" w:cstheme="minorBidi"/>
          <w:spacing w:val="-4"/>
          <w:sz w:val="22"/>
          <w:szCs w:val="22"/>
          <w:lang w:eastAsia="zh-CN"/>
        </w:rPr>
        <w:t>research findings</w:t>
      </w:r>
      <w:r w:rsidRPr="002650DE">
        <w:rPr>
          <w:rFonts w:asciiTheme="minorHAnsi" w:hAnsiTheme="minorHAnsi" w:cstheme="minorBidi"/>
          <w:spacing w:val="-4"/>
          <w:sz w:val="22"/>
          <w:szCs w:val="22"/>
          <w:lang w:eastAsia="zh-CN"/>
        </w:rPr>
        <w:t>. Composed of key individuals and institutions</w:t>
      </w:r>
      <w:r w:rsidR="00AD1710">
        <w:rPr>
          <w:rFonts w:asciiTheme="minorHAnsi" w:hAnsiTheme="minorHAnsi" w:cstheme="minorBidi"/>
          <w:spacing w:val="-4"/>
          <w:sz w:val="22"/>
          <w:szCs w:val="22"/>
          <w:lang w:eastAsia="zh-CN"/>
        </w:rPr>
        <w:t xml:space="preserve"> active in the field of social cohesion</w:t>
      </w:r>
      <w:r w:rsidRPr="002650DE">
        <w:rPr>
          <w:rFonts w:asciiTheme="minorHAnsi" w:hAnsiTheme="minorHAnsi" w:cstheme="minorBidi"/>
          <w:spacing w:val="-4"/>
          <w:sz w:val="22"/>
          <w:szCs w:val="22"/>
          <w:lang w:eastAsia="zh-CN"/>
        </w:rPr>
        <w:t xml:space="preserve">, the CRG serves as an advisory body, offering expertise and insights on various aspects of the </w:t>
      </w:r>
      <w:r>
        <w:rPr>
          <w:rFonts w:asciiTheme="minorHAnsi" w:hAnsiTheme="minorHAnsi" w:cstheme="minorBidi"/>
          <w:spacing w:val="-4"/>
          <w:sz w:val="22"/>
          <w:szCs w:val="22"/>
          <w:lang w:eastAsia="zh-CN"/>
        </w:rPr>
        <w:t>local context</w:t>
      </w:r>
      <w:r w:rsidR="00041594">
        <w:rPr>
          <w:rFonts w:asciiTheme="minorHAnsi" w:hAnsiTheme="minorHAnsi" w:cstheme="minorBidi"/>
          <w:spacing w:val="-4"/>
          <w:sz w:val="22"/>
          <w:szCs w:val="22"/>
          <w:lang w:eastAsia="zh-CN"/>
        </w:rPr>
        <w:t>,</w:t>
      </w:r>
      <w:r w:rsidRPr="002650DE">
        <w:rPr>
          <w:rFonts w:asciiTheme="minorHAnsi" w:hAnsiTheme="minorHAnsi" w:cstheme="minorBidi"/>
          <w:spacing w:val="-4"/>
          <w:sz w:val="22"/>
          <w:szCs w:val="22"/>
          <w:lang w:eastAsia="zh-CN"/>
        </w:rPr>
        <w:t xml:space="preserve"> methodologies, and activities.</w:t>
      </w:r>
      <w:r>
        <w:rPr>
          <w:rFonts w:asciiTheme="minorHAnsi" w:hAnsiTheme="minorHAnsi" w:cstheme="minorBidi"/>
          <w:spacing w:val="-4"/>
          <w:sz w:val="22"/>
          <w:szCs w:val="22"/>
          <w:lang w:eastAsia="zh-CN"/>
        </w:rPr>
        <w:t xml:space="preserve"> </w:t>
      </w:r>
      <w:r w:rsidRPr="002650DE">
        <w:rPr>
          <w:rFonts w:asciiTheme="minorHAnsi" w:hAnsiTheme="minorHAnsi" w:cstheme="minorBidi"/>
          <w:spacing w:val="-4"/>
          <w:sz w:val="22"/>
          <w:szCs w:val="22"/>
          <w:lang w:eastAsia="zh-CN"/>
        </w:rPr>
        <w:t xml:space="preserve">The CRG members are responsible for providing feedback on reviewing findings and ensuring that the </w:t>
      </w:r>
      <w:r w:rsidR="00041594">
        <w:rPr>
          <w:rFonts w:asciiTheme="minorHAnsi" w:hAnsiTheme="minorHAnsi" w:cstheme="minorBidi"/>
          <w:spacing w:val="-4"/>
          <w:sz w:val="22"/>
          <w:szCs w:val="22"/>
          <w:lang w:eastAsia="zh-CN"/>
        </w:rPr>
        <w:t>research</w:t>
      </w:r>
      <w:r w:rsidR="00041594" w:rsidRPr="002650DE">
        <w:rPr>
          <w:rFonts w:asciiTheme="minorHAnsi" w:hAnsiTheme="minorHAnsi" w:cstheme="minorBidi"/>
          <w:spacing w:val="-4"/>
          <w:sz w:val="22"/>
          <w:szCs w:val="22"/>
          <w:lang w:eastAsia="zh-CN"/>
        </w:rPr>
        <w:t xml:space="preserve"> </w:t>
      </w:r>
      <w:r w:rsidR="007D44F8">
        <w:rPr>
          <w:rFonts w:asciiTheme="minorHAnsi" w:hAnsiTheme="minorHAnsi" w:cstheme="minorBidi"/>
          <w:spacing w:val="-4"/>
          <w:sz w:val="22"/>
          <w:szCs w:val="22"/>
          <w:lang w:eastAsia="zh-CN"/>
        </w:rPr>
        <w:t>results</w:t>
      </w:r>
      <w:r w:rsidRPr="002650DE">
        <w:rPr>
          <w:rFonts w:asciiTheme="minorHAnsi" w:hAnsiTheme="minorHAnsi" w:cstheme="minorBidi"/>
          <w:spacing w:val="-4"/>
          <w:sz w:val="22"/>
          <w:szCs w:val="22"/>
          <w:lang w:eastAsia="zh-CN"/>
        </w:rPr>
        <w:t xml:space="preserve"> align with broader social cohesion and governance priorities. Their role also includes contributing to the design of research, analysis, and interventions, as well as addressing any emerging challenges during the </w:t>
      </w:r>
      <w:r w:rsidR="007A161E">
        <w:rPr>
          <w:rFonts w:asciiTheme="minorHAnsi" w:hAnsiTheme="minorHAnsi" w:cstheme="minorBidi"/>
          <w:spacing w:val="-4"/>
          <w:sz w:val="22"/>
          <w:szCs w:val="22"/>
          <w:lang w:eastAsia="zh-CN"/>
        </w:rPr>
        <w:t>research</w:t>
      </w:r>
      <w:r w:rsidR="007A161E" w:rsidRPr="002650DE">
        <w:rPr>
          <w:rFonts w:asciiTheme="minorHAnsi" w:hAnsiTheme="minorHAnsi" w:cstheme="minorBidi"/>
          <w:spacing w:val="-4"/>
          <w:sz w:val="22"/>
          <w:szCs w:val="22"/>
          <w:lang w:eastAsia="zh-CN"/>
        </w:rPr>
        <w:t xml:space="preserve"> </w:t>
      </w:r>
      <w:r w:rsidRPr="002650DE">
        <w:rPr>
          <w:rFonts w:asciiTheme="minorHAnsi" w:hAnsiTheme="minorHAnsi" w:cstheme="minorBidi"/>
          <w:spacing w:val="-4"/>
          <w:sz w:val="22"/>
          <w:szCs w:val="22"/>
          <w:lang w:eastAsia="zh-CN"/>
        </w:rPr>
        <w:t>lifecycle.</w:t>
      </w:r>
      <w:r>
        <w:rPr>
          <w:rFonts w:asciiTheme="minorHAnsi" w:hAnsiTheme="minorHAnsi" w:cstheme="minorBidi"/>
          <w:spacing w:val="-4"/>
          <w:sz w:val="22"/>
          <w:szCs w:val="22"/>
          <w:lang w:eastAsia="zh-CN"/>
        </w:rPr>
        <w:t xml:space="preserve"> </w:t>
      </w:r>
      <w:r w:rsidRPr="002650DE">
        <w:rPr>
          <w:rFonts w:asciiTheme="minorHAnsi" w:hAnsiTheme="minorHAnsi" w:cstheme="minorBidi"/>
          <w:spacing w:val="-4"/>
          <w:sz w:val="22"/>
          <w:szCs w:val="22"/>
          <w:lang w:eastAsia="zh-CN"/>
        </w:rPr>
        <w:t xml:space="preserve">Through regular meetings, the CRG facilitates coordination between different stakeholders, including UN agencies, international organizations, government ministries, and civil society institutions, ensuring that the project’s implementation is informed by a diverse range of perspectives. The CRG </w:t>
      </w:r>
      <w:r w:rsidR="008F7CF5">
        <w:rPr>
          <w:rFonts w:asciiTheme="minorHAnsi" w:hAnsiTheme="minorHAnsi" w:cstheme="minorBidi"/>
          <w:spacing w:val="-4"/>
          <w:sz w:val="22"/>
          <w:szCs w:val="22"/>
          <w:lang w:eastAsia="zh-CN"/>
        </w:rPr>
        <w:t xml:space="preserve">will </w:t>
      </w:r>
      <w:r w:rsidRPr="002650DE">
        <w:rPr>
          <w:rFonts w:asciiTheme="minorHAnsi" w:hAnsiTheme="minorHAnsi" w:cstheme="minorBidi"/>
          <w:spacing w:val="-4"/>
          <w:sz w:val="22"/>
          <w:szCs w:val="22"/>
          <w:lang w:eastAsia="zh-CN"/>
        </w:rPr>
        <w:t>also play an important role in fostering collaboration and strengthening partnerships between key institutional actors across Bosnia and Herzegovina, helping to create a more inclusive approach to social cohesion and reconciliation efforts.</w:t>
      </w:r>
      <w:r>
        <w:rPr>
          <w:rFonts w:asciiTheme="minorHAnsi" w:hAnsiTheme="minorHAnsi" w:cstheme="minorBidi"/>
          <w:spacing w:val="-4"/>
          <w:sz w:val="22"/>
          <w:szCs w:val="22"/>
          <w:lang w:eastAsia="zh-CN"/>
        </w:rPr>
        <w:t xml:space="preserve"> </w:t>
      </w:r>
    </w:p>
    <w:p w14:paraId="03C11C67" w14:textId="32F37E24" w:rsidR="0040669F" w:rsidRPr="0040669F" w:rsidRDefault="0040669F" w:rsidP="0040669F">
      <w:pPr>
        <w:pStyle w:val="CommentText"/>
        <w:spacing w:before="120" w:after="120"/>
        <w:jc w:val="both"/>
        <w:rPr>
          <w:rFonts w:asciiTheme="minorHAnsi" w:hAnsiTheme="minorHAnsi" w:cstheme="minorBidi"/>
          <w:spacing w:val="-4"/>
          <w:sz w:val="22"/>
          <w:szCs w:val="22"/>
          <w:lang w:val="en-US" w:eastAsia="zh-CN"/>
        </w:rPr>
      </w:pPr>
      <w:r w:rsidRPr="0040669F">
        <w:rPr>
          <w:rFonts w:asciiTheme="minorHAnsi" w:hAnsiTheme="minorHAnsi" w:cstheme="minorBidi"/>
          <w:spacing w:val="-4"/>
          <w:sz w:val="22"/>
          <w:szCs w:val="22"/>
          <w:lang w:val="en-US" w:eastAsia="zh-CN"/>
        </w:rPr>
        <w:t>The Dialogue for the Future (DFF) project</w:t>
      </w:r>
      <w:r>
        <w:rPr>
          <w:rFonts w:asciiTheme="minorHAnsi" w:hAnsiTheme="minorHAnsi" w:cstheme="minorBidi"/>
          <w:spacing w:val="-4"/>
          <w:sz w:val="22"/>
          <w:szCs w:val="22"/>
          <w:lang w:val="en-US" w:eastAsia="zh-CN"/>
        </w:rPr>
        <w:t xml:space="preserve">, </w:t>
      </w:r>
      <w:r w:rsidRPr="0040669F">
        <w:rPr>
          <w:rFonts w:asciiTheme="minorHAnsi" w:hAnsiTheme="minorHAnsi" w:cstheme="minorBidi"/>
          <w:spacing w:val="-4"/>
          <w:sz w:val="22"/>
          <w:szCs w:val="22"/>
          <w:lang w:val="en-US" w:eastAsia="zh-CN"/>
        </w:rPr>
        <w:t>financed by the UN Peacebuilding Fund and implemented by UNDP, UNICEF, and UNESCO</w:t>
      </w:r>
      <w:r>
        <w:rPr>
          <w:rFonts w:asciiTheme="minorHAnsi" w:hAnsiTheme="minorHAnsi" w:cstheme="minorBidi"/>
          <w:spacing w:val="-4"/>
          <w:sz w:val="22"/>
          <w:szCs w:val="22"/>
          <w:lang w:val="en-US" w:eastAsia="zh-CN"/>
        </w:rPr>
        <w:t xml:space="preserve">, </w:t>
      </w:r>
      <w:r w:rsidRPr="0040669F">
        <w:rPr>
          <w:rFonts w:asciiTheme="minorHAnsi" w:hAnsiTheme="minorHAnsi" w:cstheme="minorBidi"/>
          <w:spacing w:val="-4"/>
          <w:sz w:val="22"/>
          <w:szCs w:val="22"/>
          <w:lang w:val="en-US" w:eastAsia="zh-CN"/>
        </w:rPr>
        <w:t xml:space="preserve">serves as a key partner through a complementary set of activities at the local level. The SCORE project has ensured strong synergies and effective cooperation with DFF, particularly in localities where both projects are active (Doboj, </w:t>
      </w:r>
      <w:proofErr w:type="spellStart"/>
      <w:r w:rsidRPr="0040669F">
        <w:rPr>
          <w:rFonts w:asciiTheme="minorHAnsi" w:hAnsiTheme="minorHAnsi" w:cstheme="minorBidi"/>
          <w:spacing w:val="-4"/>
          <w:sz w:val="22"/>
          <w:szCs w:val="22"/>
          <w:lang w:val="en-US" w:eastAsia="zh-CN"/>
        </w:rPr>
        <w:t>Teslić</w:t>
      </w:r>
      <w:proofErr w:type="spellEnd"/>
      <w:r w:rsidRPr="0040669F">
        <w:rPr>
          <w:rFonts w:asciiTheme="minorHAnsi" w:hAnsiTheme="minorHAnsi" w:cstheme="minorBidi"/>
          <w:spacing w:val="-4"/>
          <w:sz w:val="22"/>
          <w:szCs w:val="22"/>
          <w:lang w:val="en-US" w:eastAsia="zh-CN"/>
        </w:rPr>
        <w:t>, Stolac, and Mostar).</w:t>
      </w:r>
    </w:p>
    <w:p w14:paraId="226B442F" w14:textId="77777777" w:rsidR="0040669F" w:rsidRPr="0040669F" w:rsidRDefault="0040669F" w:rsidP="0040669F">
      <w:pPr>
        <w:pStyle w:val="CommentText"/>
        <w:spacing w:before="120" w:after="120"/>
        <w:jc w:val="both"/>
        <w:rPr>
          <w:rFonts w:asciiTheme="minorHAnsi" w:hAnsiTheme="minorHAnsi" w:cstheme="minorBidi"/>
          <w:spacing w:val="-4"/>
          <w:sz w:val="22"/>
          <w:szCs w:val="22"/>
          <w:lang w:val="en-US" w:eastAsia="zh-CN"/>
        </w:rPr>
      </w:pPr>
      <w:r w:rsidRPr="0040669F">
        <w:rPr>
          <w:rFonts w:asciiTheme="minorHAnsi" w:hAnsiTheme="minorHAnsi" w:cstheme="minorBidi"/>
          <w:spacing w:val="-4"/>
          <w:sz w:val="22"/>
          <w:szCs w:val="22"/>
          <w:lang w:val="en-US" w:eastAsia="zh-CN"/>
        </w:rPr>
        <w:t xml:space="preserve">A major strength of the SCORE project is its collaborative approach, bringing together </w:t>
      </w:r>
      <w:proofErr w:type="spellStart"/>
      <w:r w:rsidRPr="0040669F">
        <w:rPr>
          <w:rFonts w:asciiTheme="minorHAnsi" w:hAnsiTheme="minorHAnsi" w:cstheme="minorBidi"/>
          <w:spacing w:val="-4"/>
          <w:sz w:val="22"/>
          <w:szCs w:val="22"/>
          <w:lang w:val="en-US" w:eastAsia="zh-CN"/>
        </w:rPr>
        <w:t>SeeD</w:t>
      </w:r>
      <w:proofErr w:type="spellEnd"/>
      <w:r w:rsidRPr="0040669F">
        <w:rPr>
          <w:rFonts w:asciiTheme="minorHAnsi" w:hAnsiTheme="minorHAnsi" w:cstheme="minorBidi"/>
          <w:spacing w:val="-4"/>
          <w:sz w:val="22"/>
          <w:szCs w:val="22"/>
          <w:lang w:val="en-US" w:eastAsia="zh-CN"/>
        </w:rPr>
        <w:t>, Prism Research, local governments, external experts, donors, and community associations. Each stakeholder contributes distinct expertise and resources, enabling the project to deliver meaningful, evidence-informed, and sustainable results.</w:t>
      </w:r>
    </w:p>
    <w:p w14:paraId="17C89521" w14:textId="77777777" w:rsidR="00682563" w:rsidRDefault="00682563" w:rsidP="34CCF7C3">
      <w:pPr>
        <w:spacing w:before="120" w:after="120"/>
        <w:jc w:val="both"/>
        <w:rPr>
          <w:rFonts w:asciiTheme="minorHAnsi" w:hAnsiTheme="minorHAnsi" w:cstheme="minorBidi"/>
          <w:spacing w:val="-2"/>
          <w:sz w:val="22"/>
          <w:szCs w:val="22"/>
          <w:highlight w:val="yellow"/>
        </w:rPr>
      </w:pPr>
    </w:p>
    <w:p w14:paraId="08232FDD" w14:textId="30619A0D" w:rsidR="00B00B92" w:rsidRPr="00753A51" w:rsidRDefault="00B00B92" w:rsidP="00B00B92">
      <w:pPr>
        <w:pStyle w:val="Heading1"/>
        <w:shd w:val="clear" w:color="auto" w:fill="44546A" w:themeFill="text2"/>
        <w:spacing w:before="120" w:after="120"/>
        <w:rPr>
          <w:rFonts w:asciiTheme="minorHAnsi" w:hAnsiTheme="minorHAnsi" w:cstheme="minorHAnsi"/>
          <w:caps/>
          <w:color w:val="FFFFFF" w:themeColor="background1"/>
          <w:sz w:val="22"/>
          <w:szCs w:val="22"/>
          <w:lang w:val="en-GB"/>
        </w:rPr>
      </w:pPr>
      <w:bookmarkStart w:id="25" w:name="_Toc225409787"/>
      <w:r w:rsidRPr="00753A51">
        <w:rPr>
          <w:rFonts w:asciiTheme="minorHAnsi" w:hAnsiTheme="minorHAnsi" w:cstheme="minorHAnsi"/>
          <w:caps/>
          <w:color w:val="FFFFFF" w:themeColor="background1"/>
          <w:sz w:val="22"/>
          <w:szCs w:val="22"/>
          <w:lang w:val="en-GB"/>
        </w:rPr>
        <w:t xml:space="preserve">Chapter </w:t>
      </w:r>
      <w:r>
        <w:rPr>
          <w:rFonts w:asciiTheme="minorHAnsi" w:hAnsiTheme="minorHAnsi" w:cstheme="minorHAnsi"/>
          <w:caps/>
          <w:color w:val="FFFFFF" w:themeColor="background1"/>
          <w:sz w:val="22"/>
          <w:szCs w:val="22"/>
          <w:lang w:val="en-GB"/>
        </w:rPr>
        <w:t>2</w:t>
      </w:r>
      <w:r w:rsidRPr="00753A51">
        <w:rPr>
          <w:rFonts w:asciiTheme="minorHAnsi" w:hAnsiTheme="minorHAnsi" w:cstheme="minorHAnsi"/>
          <w:caps/>
          <w:color w:val="FFFFFF" w:themeColor="background1"/>
          <w:sz w:val="22"/>
          <w:szCs w:val="22"/>
          <w:lang w:val="en-GB"/>
        </w:rPr>
        <w:t xml:space="preserve"> </w:t>
      </w:r>
      <w:r>
        <w:rPr>
          <w:rFonts w:asciiTheme="minorHAnsi" w:hAnsiTheme="minorHAnsi" w:cstheme="minorHAnsi"/>
          <w:caps/>
          <w:color w:val="FFFFFF" w:themeColor="background1"/>
          <w:sz w:val="22"/>
          <w:szCs w:val="22"/>
          <w:lang w:val="en-GB"/>
        </w:rPr>
        <w:t>–</w:t>
      </w:r>
      <w:r w:rsidRPr="00753A51">
        <w:rPr>
          <w:rFonts w:asciiTheme="minorHAnsi" w:hAnsiTheme="minorHAnsi" w:cstheme="minorHAnsi"/>
          <w:caps/>
          <w:color w:val="FFFFFF" w:themeColor="background1"/>
          <w:sz w:val="22"/>
          <w:szCs w:val="22"/>
          <w:lang w:val="en-GB"/>
        </w:rPr>
        <w:t xml:space="preserve"> </w:t>
      </w:r>
      <w:r>
        <w:rPr>
          <w:rFonts w:asciiTheme="minorHAnsi" w:hAnsiTheme="minorHAnsi" w:cstheme="minorHAnsi"/>
          <w:caps/>
          <w:color w:val="FFFFFF" w:themeColor="background1"/>
          <w:sz w:val="22"/>
          <w:szCs w:val="22"/>
          <w:lang w:val="en-GB"/>
        </w:rPr>
        <w:t xml:space="preserve">RISKS AND </w:t>
      </w:r>
      <w:r w:rsidR="00A72F1B">
        <w:rPr>
          <w:rFonts w:asciiTheme="minorHAnsi" w:hAnsiTheme="minorHAnsi" w:cstheme="minorHAnsi"/>
          <w:caps/>
          <w:color w:val="FFFFFF" w:themeColor="background1"/>
          <w:sz w:val="22"/>
          <w:szCs w:val="22"/>
          <w:lang w:val="en-GB"/>
        </w:rPr>
        <w:t>CHALLENGES</w:t>
      </w:r>
      <w:bookmarkEnd w:id="25"/>
      <w:r w:rsidR="00A72F1B">
        <w:rPr>
          <w:rFonts w:asciiTheme="minorHAnsi" w:hAnsiTheme="minorHAnsi" w:cstheme="minorHAnsi"/>
          <w:caps/>
          <w:color w:val="FFFFFF" w:themeColor="background1"/>
          <w:sz w:val="22"/>
          <w:szCs w:val="22"/>
          <w:lang w:val="en-GB"/>
        </w:rPr>
        <w:t xml:space="preserve"> </w:t>
      </w:r>
    </w:p>
    <w:p w14:paraId="68EA399D" w14:textId="77777777" w:rsidR="00E54231" w:rsidRDefault="00E54231" w:rsidP="00F6588F">
      <w:pPr>
        <w:pStyle w:val="CommentText"/>
        <w:spacing w:before="120" w:after="120"/>
        <w:jc w:val="both"/>
        <w:rPr>
          <w:rFonts w:asciiTheme="minorHAnsi" w:hAnsiTheme="minorHAnsi" w:cstheme="minorBidi"/>
          <w:sz w:val="22"/>
          <w:szCs w:val="22"/>
        </w:rPr>
      </w:pPr>
      <w:r w:rsidRPr="00E54231">
        <w:rPr>
          <w:rFonts w:asciiTheme="minorHAnsi" w:hAnsiTheme="minorHAnsi" w:cstheme="minorBidi"/>
          <w:sz w:val="22"/>
          <w:szCs w:val="22"/>
        </w:rPr>
        <w:t xml:space="preserve">In 2025, the SCORE Project encountered several risks that impacted its implementation, particularly in terms of timing and the availability of surveyors in specific localities. These challenges were both contextual and programmatic in nature, leading to </w:t>
      </w:r>
      <w:r>
        <w:rPr>
          <w:rFonts w:asciiTheme="minorHAnsi" w:hAnsiTheme="minorHAnsi" w:cstheme="minorBidi"/>
          <w:sz w:val="22"/>
          <w:szCs w:val="22"/>
        </w:rPr>
        <w:t xml:space="preserve">limited </w:t>
      </w:r>
      <w:r w:rsidRPr="00E54231">
        <w:rPr>
          <w:rFonts w:asciiTheme="minorHAnsi" w:hAnsiTheme="minorHAnsi" w:cstheme="minorBidi"/>
          <w:sz w:val="22"/>
          <w:szCs w:val="22"/>
        </w:rPr>
        <w:t xml:space="preserve">delays and complications during the </w:t>
      </w:r>
      <w:r>
        <w:rPr>
          <w:rFonts w:asciiTheme="minorHAnsi" w:hAnsiTheme="minorHAnsi" w:cstheme="minorBidi"/>
          <w:sz w:val="22"/>
          <w:szCs w:val="22"/>
        </w:rPr>
        <w:t>initial</w:t>
      </w:r>
      <w:r w:rsidRPr="00E54231">
        <w:rPr>
          <w:rFonts w:asciiTheme="minorHAnsi" w:hAnsiTheme="minorHAnsi" w:cstheme="minorBidi"/>
          <w:sz w:val="22"/>
          <w:szCs w:val="22"/>
        </w:rPr>
        <w:t xml:space="preserve"> phase of the project.</w:t>
      </w:r>
    </w:p>
    <w:p w14:paraId="7398AC54" w14:textId="6EF0E4A7" w:rsidR="00F6588F" w:rsidRPr="00F6588F" w:rsidRDefault="00F6588F" w:rsidP="00F6588F">
      <w:pPr>
        <w:pStyle w:val="CommentText"/>
        <w:spacing w:before="120" w:after="120"/>
        <w:jc w:val="both"/>
        <w:rPr>
          <w:rFonts w:asciiTheme="minorHAnsi" w:hAnsiTheme="minorHAnsi" w:cstheme="minorBidi"/>
          <w:sz w:val="22"/>
          <w:szCs w:val="22"/>
          <w:lang w:val="en-US"/>
        </w:rPr>
      </w:pPr>
      <w:r w:rsidRPr="00F6588F">
        <w:rPr>
          <w:rFonts w:asciiTheme="minorHAnsi" w:hAnsiTheme="minorHAnsi" w:cstheme="minorBidi"/>
          <w:sz w:val="22"/>
          <w:szCs w:val="22"/>
          <w:lang w:val="en-US"/>
        </w:rPr>
        <w:t>Political instability</w:t>
      </w:r>
      <w:r w:rsidR="00011037">
        <w:rPr>
          <w:rFonts w:asciiTheme="minorHAnsi" w:hAnsiTheme="minorHAnsi" w:cstheme="minorBidi"/>
          <w:sz w:val="22"/>
          <w:szCs w:val="22"/>
          <w:lang w:val="en-US"/>
        </w:rPr>
        <w:t>, especially</w:t>
      </w:r>
      <w:r w:rsidRPr="00F6588F">
        <w:rPr>
          <w:rFonts w:asciiTheme="minorHAnsi" w:hAnsiTheme="minorHAnsi" w:cstheme="minorBidi"/>
          <w:sz w:val="22"/>
          <w:szCs w:val="22"/>
          <w:lang w:val="en-US"/>
        </w:rPr>
        <w:t xml:space="preserve"> in RS</w:t>
      </w:r>
      <w:r>
        <w:rPr>
          <w:rFonts w:asciiTheme="minorHAnsi" w:hAnsiTheme="minorHAnsi" w:cstheme="minorBidi"/>
          <w:sz w:val="22"/>
          <w:szCs w:val="22"/>
          <w:lang w:val="en-US"/>
        </w:rPr>
        <w:t xml:space="preserve"> entity</w:t>
      </w:r>
      <w:r w:rsidR="00011037">
        <w:rPr>
          <w:rFonts w:asciiTheme="minorHAnsi" w:hAnsiTheme="minorHAnsi" w:cstheme="minorBidi"/>
          <w:sz w:val="22"/>
          <w:szCs w:val="22"/>
          <w:lang w:val="en-US"/>
        </w:rPr>
        <w:t>,</w:t>
      </w:r>
      <w:r w:rsidRPr="00F6588F">
        <w:rPr>
          <w:rFonts w:asciiTheme="minorHAnsi" w:hAnsiTheme="minorHAnsi" w:cstheme="minorBidi"/>
          <w:sz w:val="22"/>
          <w:szCs w:val="22"/>
          <w:lang w:val="en-US"/>
        </w:rPr>
        <w:t xml:space="preserve"> created a tense operating environment, and in some instances, local authorities demonstrated a degree of resistance to participation, adding further complexity to project implementation. In addition, the human capital gap caused by outward migration</w:t>
      </w:r>
      <w:r>
        <w:rPr>
          <w:rFonts w:asciiTheme="minorHAnsi" w:hAnsiTheme="minorHAnsi" w:cstheme="minorBidi"/>
          <w:sz w:val="22"/>
          <w:szCs w:val="22"/>
          <w:lang w:val="en-US"/>
        </w:rPr>
        <w:t xml:space="preserve">, </w:t>
      </w:r>
      <w:r w:rsidRPr="00F6588F">
        <w:rPr>
          <w:rFonts w:asciiTheme="minorHAnsi" w:hAnsiTheme="minorHAnsi" w:cstheme="minorBidi"/>
          <w:sz w:val="22"/>
          <w:szCs w:val="22"/>
          <w:lang w:val="en-US"/>
        </w:rPr>
        <w:t>particularly among youth and young women</w:t>
      </w:r>
      <w:r>
        <w:rPr>
          <w:rFonts w:asciiTheme="minorHAnsi" w:hAnsiTheme="minorHAnsi" w:cstheme="minorBidi"/>
          <w:sz w:val="22"/>
          <w:szCs w:val="22"/>
          <w:lang w:val="en-US"/>
        </w:rPr>
        <w:t xml:space="preserve">, </w:t>
      </w:r>
      <w:r w:rsidRPr="00F6588F">
        <w:rPr>
          <w:rFonts w:asciiTheme="minorHAnsi" w:hAnsiTheme="minorHAnsi" w:cstheme="minorBidi"/>
          <w:sz w:val="22"/>
          <w:szCs w:val="22"/>
          <w:lang w:val="en-US"/>
        </w:rPr>
        <w:t xml:space="preserve">made it challenging to recruit sufficiently skilled personnel to conduct the SCORE survey. This shortage of </w:t>
      </w:r>
      <w:r w:rsidR="00875639" w:rsidRPr="00C05A37">
        <w:rPr>
          <w:rFonts w:asciiTheme="minorHAnsi" w:hAnsiTheme="minorHAnsi" w:cstheme="minorBidi"/>
          <w:sz w:val="22"/>
          <w:szCs w:val="22"/>
          <w:lang w:val="en-US"/>
        </w:rPr>
        <w:t>skilled enumerators for data collection</w:t>
      </w:r>
      <w:r w:rsidR="00875639">
        <w:rPr>
          <w:rFonts w:asciiTheme="minorHAnsi" w:hAnsiTheme="minorHAnsi" w:cstheme="minorBidi"/>
          <w:sz w:val="22"/>
          <w:szCs w:val="22"/>
          <w:lang w:val="en-US"/>
        </w:rPr>
        <w:t xml:space="preserve">, </w:t>
      </w:r>
      <w:r w:rsidRPr="00F6588F">
        <w:rPr>
          <w:rFonts w:asciiTheme="minorHAnsi" w:hAnsiTheme="minorHAnsi" w:cstheme="minorBidi"/>
          <w:sz w:val="22"/>
          <w:szCs w:val="22"/>
          <w:lang w:val="en-US"/>
        </w:rPr>
        <w:t>combined with the compressed timelines for Cycle 1 implementation, led to minor delays in field activities and created bottlenecks within the overall survey process.</w:t>
      </w:r>
      <w:r>
        <w:rPr>
          <w:rFonts w:asciiTheme="minorHAnsi" w:hAnsiTheme="minorHAnsi" w:cstheme="minorBidi"/>
          <w:sz w:val="22"/>
          <w:szCs w:val="22"/>
          <w:lang w:val="en-US"/>
        </w:rPr>
        <w:t xml:space="preserve"> </w:t>
      </w:r>
      <w:r w:rsidRPr="00F6588F">
        <w:rPr>
          <w:rFonts w:asciiTheme="minorHAnsi" w:hAnsiTheme="minorHAnsi" w:cstheme="minorBidi"/>
          <w:sz w:val="22"/>
          <w:szCs w:val="22"/>
          <w:lang w:val="en-US"/>
        </w:rPr>
        <w:t>Despite these obstacles, the exceptional commitment and coordinated efforts of all parties involved ensured that delays were kept to an absolute minimum and will not affect the timely progress of subsequent activities.</w:t>
      </w:r>
    </w:p>
    <w:p w14:paraId="4E04AF00" w14:textId="5FCB6FA9" w:rsidR="00C05A37" w:rsidRDefault="00005150" w:rsidP="00005150">
      <w:pPr>
        <w:pStyle w:val="CommentText"/>
        <w:spacing w:before="120" w:after="120"/>
        <w:jc w:val="both"/>
        <w:rPr>
          <w:rFonts w:asciiTheme="minorHAnsi" w:hAnsiTheme="minorHAnsi" w:cstheme="minorBidi"/>
          <w:sz w:val="22"/>
          <w:szCs w:val="22"/>
        </w:rPr>
      </w:pPr>
      <w:r w:rsidRPr="00005150">
        <w:rPr>
          <w:rFonts w:asciiTheme="minorHAnsi" w:hAnsiTheme="minorHAnsi" w:cstheme="minorBidi"/>
          <w:sz w:val="22"/>
          <w:szCs w:val="22"/>
        </w:rPr>
        <w:t xml:space="preserve">Another major issue arose from the reliance on 2013 census data, which is now outdated and no longer reflective of the current demographic landscape. The census data did not account for significant population movements, including emigration and youth migration, especially from rural areas. This made it particularly challenging to locate and survey youth, a key demographic for understanding social cohesion in rural areas. </w:t>
      </w:r>
    </w:p>
    <w:p w14:paraId="2466E161" w14:textId="77777777" w:rsidR="00875639" w:rsidRDefault="00875639" w:rsidP="00005150">
      <w:pPr>
        <w:pStyle w:val="CommentText"/>
        <w:spacing w:before="120" w:after="120"/>
        <w:jc w:val="both"/>
        <w:rPr>
          <w:rFonts w:asciiTheme="minorHAnsi" w:hAnsiTheme="minorHAnsi" w:cstheme="minorBidi"/>
          <w:sz w:val="22"/>
          <w:szCs w:val="22"/>
        </w:rPr>
      </w:pPr>
    </w:p>
    <w:p w14:paraId="0C2FD0F6" w14:textId="0EBF2441" w:rsidR="00005150" w:rsidRDefault="00005150" w:rsidP="00005150">
      <w:pPr>
        <w:pStyle w:val="CommentText"/>
        <w:spacing w:before="120" w:after="120"/>
        <w:jc w:val="both"/>
        <w:rPr>
          <w:rFonts w:asciiTheme="minorHAnsi" w:hAnsiTheme="minorHAnsi" w:cstheme="minorBidi"/>
          <w:sz w:val="22"/>
          <w:szCs w:val="22"/>
        </w:rPr>
      </w:pPr>
      <w:r w:rsidRPr="00005150">
        <w:rPr>
          <w:rFonts w:asciiTheme="minorHAnsi" w:hAnsiTheme="minorHAnsi" w:cstheme="minorBidi"/>
          <w:sz w:val="22"/>
          <w:szCs w:val="22"/>
        </w:rPr>
        <w:lastRenderedPageBreak/>
        <w:t xml:space="preserve">Additionally, the Croat population in some municipalities, such as </w:t>
      </w:r>
      <w:proofErr w:type="spellStart"/>
      <w:r w:rsidRPr="00005150">
        <w:rPr>
          <w:rFonts w:asciiTheme="minorHAnsi" w:hAnsiTheme="minorHAnsi" w:cstheme="minorBidi"/>
          <w:sz w:val="22"/>
          <w:szCs w:val="22"/>
        </w:rPr>
        <w:t>Odžak</w:t>
      </w:r>
      <w:proofErr w:type="spellEnd"/>
      <w:r w:rsidRPr="00005150">
        <w:rPr>
          <w:rFonts w:asciiTheme="minorHAnsi" w:hAnsiTheme="minorHAnsi" w:cstheme="minorBidi"/>
          <w:sz w:val="22"/>
          <w:szCs w:val="22"/>
        </w:rPr>
        <w:t>, was underrepresented</w:t>
      </w:r>
      <w:r w:rsidR="002825D9">
        <w:rPr>
          <w:rFonts w:asciiTheme="minorHAnsi" w:hAnsiTheme="minorHAnsi" w:cstheme="minorBidi"/>
          <w:sz w:val="22"/>
          <w:szCs w:val="22"/>
        </w:rPr>
        <w:t xml:space="preserve"> in the available data</w:t>
      </w:r>
      <w:r w:rsidRPr="00005150">
        <w:rPr>
          <w:rFonts w:asciiTheme="minorHAnsi" w:hAnsiTheme="minorHAnsi" w:cstheme="minorBidi"/>
          <w:sz w:val="22"/>
          <w:szCs w:val="22"/>
        </w:rPr>
        <w:t xml:space="preserve">, requiring additional efforts to locate these citizens and ensure a balanced sample. </w:t>
      </w:r>
      <w:r w:rsidR="00BA2163" w:rsidRPr="00005150">
        <w:rPr>
          <w:rFonts w:asciiTheme="minorHAnsi" w:hAnsiTheme="minorHAnsi" w:cstheme="minorBidi"/>
          <w:sz w:val="22"/>
          <w:szCs w:val="22"/>
        </w:rPr>
        <w:t xml:space="preserve">Moving forward, it will be critical to address these challenges by </w:t>
      </w:r>
      <w:r w:rsidR="00ED236E">
        <w:rPr>
          <w:rFonts w:asciiTheme="minorHAnsi" w:hAnsiTheme="minorHAnsi" w:cstheme="minorBidi"/>
          <w:sz w:val="22"/>
          <w:szCs w:val="22"/>
        </w:rPr>
        <w:t xml:space="preserve">adjusting </w:t>
      </w:r>
      <w:r w:rsidR="00BA2163" w:rsidRPr="00005150">
        <w:rPr>
          <w:rFonts w:asciiTheme="minorHAnsi" w:hAnsiTheme="minorHAnsi" w:cstheme="minorBidi"/>
          <w:sz w:val="22"/>
          <w:szCs w:val="22"/>
        </w:rPr>
        <w:t>data collection methodologies</w:t>
      </w:r>
      <w:r w:rsidR="00ED236E">
        <w:rPr>
          <w:rFonts w:asciiTheme="minorHAnsi" w:hAnsiTheme="minorHAnsi" w:cstheme="minorBidi"/>
          <w:sz w:val="22"/>
          <w:szCs w:val="22"/>
        </w:rPr>
        <w:t xml:space="preserve"> and</w:t>
      </w:r>
      <w:r w:rsidR="00BA2163" w:rsidRPr="00005150">
        <w:rPr>
          <w:rFonts w:asciiTheme="minorHAnsi" w:hAnsiTheme="minorHAnsi" w:cstheme="minorBidi"/>
          <w:sz w:val="22"/>
          <w:szCs w:val="22"/>
        </w:rPr>
        <w:t xml:space="preserve"> timelines and investing in capacity-building to ensure the success of the project and its long-term impact on social cohesion and policy reform.</w:t>
      </w:r>
    </w:p>
    <w:p w14:paraId="1759D7D9" w14:textId="77777777" w:rsidR="00BA2163" w:rsidRPr="00005150" w:rsidRDefault="00BA2163" w:rsidP="00005150">
      <w:pPr>
        <w:pStyle w:val="CommentText"/>
        <w:spacing w:before="120" w:after="120"/>
        <w:jc w:val="both"/>
        <w:rPr>
          <w:rFonts w:asciiTheme="minorHAnsi" w:hAnsiTheme="minorHAnsi" w:cstheme="minorBidi"/>
          <w:sz w:val="22"/>
          <w:szCs w:val="22"/>
        </w:rPr>
      </w:pPr>
    </w:p>
    <w:p w14:paraId="7DF805FA" w14:textId="050C32E6" w:rsidR="005B6422" w:rsidRPr="00753A51" w:rsidRDefault="005B6422" w:rsidP="005B6422">
      <w:pPr>
        <w:pStyle w:val="Heading1"/>
        <w:shd w:val="clear" w:color="auto" w:fill="44546A" w:themeFill="text2"/>
        <w:spacing w:before="120" w:after="120"/>
        <w:rPr>
          <w:rFonts w:asciiTheme="minorHAnsi" w:hAnsiTheme="minorHAnsi" w:cstheme="minorHAnsi"/>
          <w:caps/>
          <w:color w:val="FFFFFF" w:themeColor="background1"/>
          <w:spacing w:val="-4"/>
          <w:sz w:val="22"/>
          <w:szCs w:val="22"/>
          <w:lang w:val="en-GB"/>
        </w:rPr>
      </w:pPr>
      <w:bookmarkStart w:id="26" w:name="_Toc522004553"/>
      <w:bookmarkStart w:id="27" w:name="_Toc511312840"/>
      <w:bookmarkStart w:id="28" w:name="_Toc225409788"/>
      <w:r w:rsidRPr="00753A51">
        <w:rPr>
          <w:rFonts w:asciiTheme="minorHAnsi" w:hAnsiTheme="minorHAnsi" w:cstheme="minorHAnsi"/>
          <w:caps/>
          <w:color w:val="FFFFFF" w:themeColor="background1"/>
          <w:spacing w:val="-4"/>
          <w:sz w:val="22"/>
          <w:szCs w:val="22"/>
          <w:lang w:val="en-GB"/>
        </w:rPr>
        <w:t xml:space="preserve">chapter </w:t>
      </w:r>
      <w:r w:rsidR="00B00B92">
        <w:rPr>
          <w:rFonts w:asciiTheme="minorHAnsi" w:hAnsiTheme="minorHAnsi" w:cstheme="minorHAnsi"/>
          <w:caps/>
          <w:color w:val="FFFFFF" w:themeColor="background1"/>
          <w:spacing w:val="-4"/>
          <w:sz w:val="22"/>
          <w:szCs w:val="22"/>
          <w:lang w:val="en-GB"/>
        </w:rPr>
        <w:t>3</w:t>
      </w:r>
      <w:r w:rsidRPr="00753A51">
        <w:rPr>
          <w:rFonts w:asciiTheme="minorHAnsi" w:hAnsiTheme="minorHAnsi" w:cstheme="minorHAnsi"/>
          <w:caps/>
          <w:color w:val="FFFFFF" w:themeColor="background1"/>
          <w:spacing w:val="-4"/>
          <w:sz w:val="22"/>
          <w:szCs w:val="22"/>
          <w:lang w:val="en-GB"/>
        </w:rPr>
        <w:t xml:space="preserve"> –</w:t>
      </w:r>
      <w:r w:rsidR="00F427AE">
        <w:rPr>
          <w:rFonts w:asciiTheme="minorHAnsi" w:hAnsiTheme="minorHAnsi" w:cstheme="minorHAnsi"/>
          <w:caps/>
          <w:color w:val="FFFFFF" w:themeColor="background1"/>
          <w:spacing w:val="-4"/>
          <w:sz w:val="22"/>
          <w:szCs w:val="22"/>
          <w:lang w:val="en-GB"/>
        </w:rPr>
        <w:t xml:space="preserve"> </w:t>
      </w:r>
      <w:r w:rsidR="002A0EEB">
        <w:rPr>
          <w:rFonts w:asciiTheme="minorHAnsi" w:hAnsiTheme="minorHAnsi" w:cstheme="minorHAnsi"/>
          <w:caps/>
          <w:color w:val="FFFFFF" w:themeColor="background1"/>
          <w:spacing w:val="-4"/>
          <w:sz w:val="22"/>
          <w:szCs w:val="22"/>
          <w:lang w:val="en-GB"/>
        </w:rPr>
        <w:t xml:space="preserve">Progress review and </w:t>
      </w:r>
      <w:r w:rsidRPr="00753A51">
        <w:rPr>
          <w:rFonts w:asciiTheme="minorHAnsi" w:hAnsiTheme="minorHAnsi" w:cstheme="minorHAnsi"/>
          <w:caps/>
          <w:color w:val="FFFFFF" w:themeColor="background1"/>
          <w:spacing w:val="-4"/>
          <w:sz w:val="22"/>
          <w:szCs w:val="22"/>
          <w:lang w:val="en-GB"/>
        </w:rPr>
        <w:t>ACHIEVEMENTS AGAINST out</w:t>
      </w:r>
      <w:r w:rsidR="00220C2F">
        <w:rPr>
          <w:rFonts w:asciiTheme="minorHAnsi" w:hAnsiTheme="minorHAnsi" w:cstheme="minorHAnsi"/>
          <w:caps/>
          <w:color w:val="FFFFFF" w:themeColor="background1"/>
          <w:spacing w:val="-4"/>
          <w:sz w:val="22"/>
          <w:szCs w:val="22"/>
          <w:lang w:val="en-GB"/>
        </w:rPr>
        <w:t>PUTS</w:t>
      </w:r>
      <w:bookmarkEnd w:id="26"/>
      <w:bookmarkEnd w:id="27"/>
      <w:bookmarkEnd w:id="28"/>
    </w:p>
    <w:p w14:paraId="2F0A3657" w14:textId="7C0165F3" w:rsidR="005B6422" w:rsidRPr="00753A51" w:rsidRDefault="00220C2F" w:rsidP="005B6422">
      <w:pPr>
        <w:pStyle w:val="NoSpacing"/>
        <w:shd w:val="clear" w:color="auto" w:fill="8EAADB" w:themeFill="accent1" w:themeFillTint="99"/>
        <w:spacing w:before="120" w:after="120"/>
        <w:jc w:val="both"/>
        <w:rPr>
          <w:rFonts w:asciiTheme="minorHAnsi" w:hAnsiTheme="minorHAnsi" w:cstheme="minorBidi"/>
          <w:b/>
        </w:rPr>
      </w:pPr>
      <w:r w:rsidRPr="00753A51">
        <w:rPr>
          <w:rFonts w:asciiTheme="minorHAnsi" w:hAnsiTheme="minorHAnsi" w:cstheme="minorBidi"/>
          <w:b/>
          <w:shd w:val="clear" w:color="auto" w:fill="8EAADB" w:themeFill="accent1" w:themeFillTint="99"/>
        </w:rPr>
        <w:t>Out</w:t>
      </w:r>
      <w:r>
        <w:rPr>
          <w:rFonts w:asciiTheme="minorHAnsi" w:hAnsiTheme="minorHAnsi" w:cstheme="minorBidi"/>
          <w:b/>
          <w:shd w:val="clear" w:color="auto" w:fill="8EAADB" w:themeFill="accent1" w:themeFillTint="99"/>
        </w:rPr>
        <w:t>put</w:t>
      </w:r>
      <w:r w:rsidRPr="00753A51">
        <w:rPr>
          <w:rFonts w:asciiTheme="minorHAnsi" w:hAnsiTheme="minorHAnsi" w:cstheme="minorBidi"/>
          <w:b/>
          <w:shd w:val="clear" w:color="auto" w:fill="8EAADB" w:themeFill="accent1" w:themeFillTint="99"/>
        </w:rPr>
        <w:t xml:space="preserve"> </w:t>
      </w:r>
      <w:r w:rsidR="005B6422" w:rsidRPr="00753A51">
        <w:rPr>
          <w:rFonts w:asciiTheme="minorHAnsi" w:hAnsiTheme="minorHAnsi" w:cstheme="minorBidi"/>
          <w:b/>
          <w:shd w:val="clear" w:color="auto" w:fill="8EAADB" w:themeFill="accent1" w:themeFillTint="99"/>
        </w:rPr>
        <w:t xml:space="preserve">1: </w:t>
      </w:r>
      <w:r w:rsidRPr="00220C2F">
        <w:rPr>
          <w:rFonts w:asciiTheme="minorHAnsi" w:hAnsiTheme="minorHAnsi" w:cstheme="minorBidi"/>
          <w:b/>
          <w:shd w:val="clear" w:color="auto" w:fill="8EAADB" w:themeFill="accent1" w:themeFillTint="99"/>
        </w:rPr>
        <w:t xml:space="preserve">Robust research framework and publicly accessible datasets on social cohesion, resilience, and inclusive participation are established and used to inform policy decisions and development programming in Bosnia and Herzegovina </w:t>
      </w:r>
    </w:p>
    <w:p w14:paraId="34181C3C" w14:textId="23FAD413" w:rsidR="00AD13D5" w:rsidRDefault="004E63B9" w:rsidP="00AD13D5">
      <w:pPr>
        <w:jc w:val="both"/>
        <w:textAlignment w:val="baseline"/>
        <w:rPr>
          <w:rFonts w:ascii="Calibri" w:hAnsi="Calibri" w:cs="Calibri"/>
          <w:sz w:val="22"/>
          <w:szCs w:val="22"/>
          <w:lang w:eastAsia="hr-BA"/>
        </w:rPr>
      </w:pPr>
      <w:r w:rsidRPr="004E63B9">
        <w:rPr>
          <w:rFonts w:ascii="Calibri" w:hAnsi="Calibri" w:cs="Calibri"/>
          <w:sz w:val="22"/>
          <w:szCs w:val="22"/>
          <w:lang w:eastAsia="hr-BA"/>
        </w:rPr>
        <w:t>In 2025</w:t>
      </w:r>
      <w:r w:rsidR="00CC6579">
        <w:rPr>
          <w:rFonts w:ascii="Calibri" w:hAnsi="Calibri" w:cs="Calibri"/>
          <w:sz w:val="22"/>
          <w:szCs w:val="22"/>
          <w:lang w:eastAsia="hr-BA"/>
        </w:rPr>
        <w:t>,</w:t>
      </w:r>
      <w:r w:rsidR="002825D9">
        <w:rPr>
          <w:rFonts w:ascii="Calibri" w:hAnsi="Calibri" w:cs="Calibri"/>
          <w:sz w:val="22"/>
          <w:szCs w:val="22"/>
          <w:lang w:eastAsia="hr-BA"/>
        </w:rPr>
        <w:t xml:space="preserve"> the</w:t>
      </w:r>
      <w:r w:rsidRPr="004E63B9">
        <w:rPr>
          <w:rFonts w:ascii="Calibri" w:hAnsi="Calibri" w:cs="Calibri"/>
          <w:sz w:val="22"/>
          <w:szCs w:val="22"/>
          <w:lang w:eastAsia="hr-BA"/>
        </w:rPr>
        <w:t xml:space="preserve"> project established a robust research framework on social cohesion, resilience, and inclusive participation toward achieving</w:t>
      </w:r>
      <w:r w:rsidR="002825D9">
        <w:rPr>
          <w:rFonts w:ascii="Calibri" w:hAnsi="Calibri" w:cs="Calibri"/>
          <w:sz w:val="22"/>
          <w:szCs w:val="22"/>
          <w:lang w:eastAsia="hr-BA"/>
        </w:rPr>
        <w:t xml:space="preserve"> its</w:t>
      </w:r>
      <w:r w:rsidRPr="004E63B9">
        <w:rPr>
          <w:rFonts w:ascii="Calibri" w:hAnsi="Calibri" w:cs="Calibri"/>
          <w:sz w:val="22"/>
          <w:szCs w:val="22"/>
          <w:lang w:eastAsia="hr-BA"/>
        </w:rPr>
        <w:t xml:space="preserve"> Output 1. This output is pivotal for generating evidence-based insights to inform policy decisions and development programming throughout the country.</w:t>
      </w:r>
    </w:p>
    <w:p w14:paraId="131F1643" w14:textId="77777777" w:rsidR="004E63B9" w:rsidRPr="00AD13D5" w:rsidRDefault="004E63B9" w:rsidP="00AD13D5">
      <w:pPr>
        <w:jc w:val="both"/>
        <w:textAlignment w:val="baseline"/>
        <w:rPr>
          <w:rFonts w:ascii="Calibri" w:hAnsi="Calibri" w:cs="Calibri"/>
          <w:sz w:val="22"/>
          <w:szCs w:val="22"/>
          <w:lang w:eastAsia="hr-BA"/>
        </w:rPr>
      </w:pPr>
    </w:p>
    <w:p w14:paraId="7EDCEB47" w14:textId="0758305F" w:rsidR="008721B5" w:rsidRPr="008721B5" w:rsidRDefault="008721B5" w:rsidP="006B0725">
      <w:pPr>
        <w:jc w:val="both"/>
        <w:textAlignment w:val="baseline"/>
        <w:rPr>
          <w:rFonts w:ascii="Calibri" w:hAnsi="Calibri" w:cs="Calibri"/>
          <w:sz w:val="22"/>
          <w:szCs w:val="22"/>
          <w:lang w:eastAsia="hr-BA"/>
        </w:rPr>
      </w:pPr>
      <w:r w:rsidRPr="008721B5">
        <w:rPr>
          <w:rFonts w:ascii="Calibri" w:hAnsi="Calibri" w:cs="Calibri"/>
          <w:sz w:val="22"/>
          <w:szCs w:val="22"/>
          <w:lang w:eastAsia="hr-BA"/>
        </w:rPr>
        <w:t xml:space="preserve">A key development in </w:t>
      </w:r>
      <w:r w:rsidR="008A1B55">
        <w:rPr>
          <w:rFonts w:ascii="Calibri" w:hAnsi="Calibri" w:cs="Calibri"/>
          <w:sz w:val="22"/>
          <w:szCs w:val="22"/>
          <w:lang w:eastAsia="hr-BA"/>
        </w:rPr>
        <w:t xml:space="preserve">Q3 </w:t>
      </w:r>
      <w:r w:rsidRPr="008721B5">
        <w:rPr>
          <w:rFonts w:ascii="Calibri" w:hAnsi="Calibri" w:cs="Calibri"/>
          <w:sz w:val="22"/>
          <w:szCs w:val="22"/>
          <w:lang w:eastAsia="hr-BA"/>
        </w:rPr>
        <w:t xml:space="preserve">2025 was the adaptation of the SCORE methodology to Bosnia and Herzegovina’s unique socio-political context through collaboration with </w:t>
      </w:r>
      <w:proofErr w:type="spellStart"/>
      <w:r w:rsidRPr="008721B5">
        <w:rPr>
          <w:rFonts w:ascii="Calibri" w:hAnsi="Calibri" w:cs="Calibri"/>
          <w:sz w:val="22"/>
          <w:szCs w:val="22"/>
          <w:lang w:eastAsia="hr-BA"/>
        </w:rPr>
        <w:t>SeeD</w:t>
      </w:r>
      <w:proofErr w:type="spellEnd"/>
      <w:r w:rsidRPr="008721B5">
        <w:rPr>
          <w:rFonts w:ascii="Calibri" w:hAnsi="Calibri" w:cs="Calibri"/>
          <w:sz w:val="22"/>
          <w:szCs w:val="22"/>
          <w:lang w:eastAsia="hr-BA"/>
        </w:rPr>
        <w:t xml:space="preserve">, a Cyprus-based think tank recognized as the global host of the SCORE </w:t>
      </w:r>
      <w:r w:rsidR="006B0725">
        <w:rPr>
          <w:rFonts w:ascii="Calibri" w:hAnsi="Calibri" w:cs="Calibri"/>
          <w:sz w:val="22"/>
          <w:szCs w:val="22"/>
          <w:lang w:eastAsia="hr-BA"/>
        </w:rPr>
        <w:t>methodology</w:t>
      </w:r>
      <w:r w:rsidRPr="008721B5">
        <w:rPr>
          <w:rFonts w:ascii="Calibri" w:hAnsi="Calibri" w:cs="Calibri"/>
          <w:sz w:val="22"/>
          <w:szCs w:val="22"/>
          <w:lang w:eastAsia="hr-BA"/>
        </w:rPr>
        <w:t>. This partnership ensured that the methodology was highly relevant to the country's dynamics, integrating local realities and addressing emerging societal challenges such as intergroup tensions and political instability.</w:t>
      </w:r>
    </w:p>
    <w:p w14:paraId="7C3AFCFF" w14:textId="77777777" w:rsidR="008721B5" w:rsidRPr="008721B5" w:rsidRDefault="008721B5" w:rsidP="008721B5">
      <w:pPr>
        <w:textAlignment w:val="baseline"/>
        <w:rPr>
          <w:rFonts w:ascii="Calibri" w:hAnsi="Calibri" w:cs="Calibri"/>
          <w:sz w:val="22"/>
          <w:szCs w:val="22"/>
          <w:lang w:eastAsia="hr-BA"/>
        </w:rPr>
      </w:pPr>
    </w:p>
    <w:p w14:paraId="5FE2E443" w14:textId="0FAED017" w:rsidR="00AD13D5" w:rsidRDefault="00C37A53" w:rsidP="00AD13D5">
      <w:pPr>
        <w:jc w:val="both"/>
        <w:textAlignment w:val="baseline"/>
        <w:rPr>
          <w:rFonts w:ascii="Calibri" w:hAnsi="Calibri" w:cs="Calibri"/>
          <w:sz w:val="22"/>
          <w:szCs w:val="22"/>
          <w:lang w:eastAsia="hr-BA"/>
        </w:rPr>
      </w:pPr>
      <w:r w:rsidRPr="00C37A53">
        <w:rPr>
          <w:rFonts w:ascii="Calibri" w:hAnsi="Calibri" w:cs="Calibri"/>
          <w:sz w:val="22"/>
          <w:szCs w:val="22"/>
          <w:lang w:eastAsia="hr-BA"/>
        </w:rPr>
        <w:t xml:space="preserve">In collaboration with UNDP, </w:t>
      </w:r>
      <w:proofErr w:type="spellStart"/>
      <w:r w:rsidRPr="00C37A53">
        <w:rPr>
          <w:rFonts w:ascii="Calibri" w:hAnsi="Calibri" w:cs="Calibri"/>
          <w:sz w:val="22"/>
          <w:szCs w:val="22"/>
          <w:lang w:eastAsia="hr-BA"/>
        </w:rPr>
        <w:t>SeeD</w:t>
      </w:r>
      <w:proofErr w:type="spellEnd"/>
      <w:r w:rsidRPr="00C37A53">
        <w:rPr>
          <w:rFonts w:ascii="Calibri" w:hAnsi="Calibri" w:cs="Calibri"/>
          <w:sz w:val="22"/>
          <w:szCs w:val="22"/>
          <w:lang w:eastAsia="hr-BA"/>
        </w:rPr>
        <w:t xml:space="preserve"> thoroughly reviewed and refined the research methodology, ensuring that the SCORE framework accurately captured the dynamic political landscape of Bosnia and Herzegovina. Leveraging </w:t>
      </w:r>
      <w:proofErr w:type="spellStart"/>
      <w:r w:rsidRPr="00C37A53">
        <w:rPr>
          <w:rFonts w:ascii="Calibri" w:hAnsi="Calibri" w:cs="Calibri"/>
          <w:sz w:val="22"/>
          <w:szCs w:val="22"/>
          <w:lang w:eastAsia="hr-BA"/>
        </w:rPr>
        <w:t>SeeD's</w:t>
      </w:r>
      <w:proofErr w:type="spellEnd"/>
      <w:r w:rsidRPr="00C37A53">
        <w:rPr>
          <w:rFonts w:ascii="Calibri" w:hAnsi="Calibri" w:cs="Calibri"/>
          <w:sz w:val="22"/>
          <w:szCs w:val="22"/>
          <w:lang w:eastAsia="hr-BA"/>
        </w:rPr>
        <w:t xml:space="preserve"> extensive experience with previous SCORE implementations in the country (2014 and 2020), the methodology was further tailored to address the current challenges, such as intergroup tensions, social divides, and barriers to civic participation. This adaptation not only allowed for more precise tracking of trends but also facilitated the identification of emerging hotspots across the country. A key innovation in this iteration of the SCORE methodology was the inclusion of 10 booster localities, which focused attention on regions critical to social cohesion. These localities were selected for their relevance to social integration issues and the involvement of various development actors, offering a deeper understanding of localized challenges.</w:t>
      </w:r>
    </w:p>
    <w:p w14:paraId="3037C98C" w14:textId="77777777" w:rsidR="00C37A53" w:rsidRPr="00AD13D5" w:rsidRDefault="00C37A53" w:rsidP="00AD13D5">
      <w:pPr>
        <w:jc w:val="both"/>
        <w:textAlignment w:val="baseline"/>
        <w:rPr>
          <w:rFonts w:ascii="Calibri" w:hAnsi="Calibri" w:cs="Calibri"/>
          <w:sz w:val="22"/>
          <w:szCs w:val="22"/>
          <w:lang w:eastAsia="hr-BA"/>
        </w:rPr>
      </w:pPr>
    </w:p>
    <w:p w14:paraId="1E5BC3DF" w14:textId="13E30DC8" w:rsidR="00AD13D5" w:rsidRPr="00AD13D5" w:rsidRDefault="00AD13D5" w:rsidP="00AD13D5">
      <w:pPr>
        <w:jc w:val="both"/>
        <w:textAlignment w:val="baseline"/>
        <w:rPr>
          <w:rFonts w:ascii="Calibri" w:hAnsi="Calibri" w:cs="Calibri"/>
          <w:sz w:val="22"/>
          <w:szCs w:val="22"/>
          <w:lang w:eastAsia="hr-BA"/>
        </w:rPr>
      </w:pPr>
      <w:r w:rsidRPr="00AD13D5">
        <w:rPr>
          <w:rFonts w:ascii="Calibri" w:hAnsi="Calibri" w:cs="Calibri"/>
          <w:sz w:val="22"/>
          <w:szCs w:val="22"/>
          <w:lang w:eastAsia="hr-BA"/>
        </w:rPr>
        <w:t>The research design included consultations with civil society organizations (CSOs), government institutions, and community stakeholders to ensure the framework was both contextually relevant and reflective of B</w:t>
      </w:r>
      <w:r w:rsidR="00860FA9">
        <w:rPr>
          <w:rFonts w:ascii="Calibri" w:hAnsi="Calibri" w:cs="Calibri"/>
          <w:sz w:val="22"/>
          <w:szCs w:val="22"/>
          <w:lang w:eastAsia="hr-BA"/>
        </w:rPr>
        <w:t>I</w:t>
      </w:r>
      <w:r w:rsidRPr="00AD13D5">
        <w:rPr>
          <w:rFonts w:ascii="Calibri" w:hAnsi="Calibri" w:cs="Calibri"/>
          <w:sz w:val="22"/>
          <w:szCs w:val="22"/>
          <w:lang w:eastAsia="hr-BA"/>
        </w:rPr>
        <w:t>H’s socio-political dynamics. The SCORE questionnaire was updated to include questions that addressed recent phenomena while maintaining continuity for longitudinal analysis.</w:t>
      </w:r>
    </w:p>
    <w:p w14:paraId="4175FA35" w14:textId="77777777" w:rsidR="00AD13D5" w:rsidRPr="00AD13D5" w:rsidRDefault="00AD13D5" w:rsidP="00AD13D5">
      <w:pPr>
        <w:jc w:val="both"/>
        <w:textAlignment w:val="baseline"/>
        <w:rPr>
          <w:rFonts w:ascii="Calibri" w:hAnsi="Calibri" w:cs="Calibri"/>
          <w:sz w:val="22"/>
          <w:szCs w:val="22"/>
          <w:lang w:eastAsia="hr-BA"/>
        </w:rPr>
      </w:pPr>
    </w:p>
    <w:p w14:paraId="55943BEB" w14:textId="488C84E3" w:rsidR="00B840BB" w:rsidRDefault="003547C6" w:rsidP="00AD13D5">
      <w:pPr>
        <w:jc w:val="both"/>
        <w:textAlignment w:val="baseline"/>
        <w:rPr>
          <w:rFonts w:ascii="Calibri" w:hAnsi="Calibri" w:cs="Calibri"/>
          <w:sz w:val="22"/>
          <w:szCs w:val="22"/>
          <w:lang w:eastAsia="hr-BA"/>
        </w:rPr>
      </w:pPr>
      <w:r w:rsidRPr="003547C6">
        <w:rPr>
          <w:rFonts w:ascii="Calibri" w:hAnsi="Calibri" w:cs="Calibri"/>
          <w:sz w:val="22"/>
          <w:szCs w:val="22"/>
          <w:lang w:eastAsia="hr-BA"/>
        </w:rPr>
        <w:t>The process of adapting the methodology and establishing the Core Reflection Group (CRG)</w:t>
      </w:r>
      <w:r>
        <w:rPr>
          <w:rFonts w:ascii="Calibri" w:hAnsi="Calibri" w:cs="Calibri"/>
          <w:sz w:val="22"/>
          <w:szCs w:val="22"/>
          <w:lang w:eastAsia="hr-BA"/>
        </w:rPr>
        <w:t xml:space="preserve">, </w:t>
      </w:r>
      <w:r w:rsidRPr="003547C6">
        <w:rPr>
          <w:rFonts w:ascii="Calibri" w:hAnsi="Calibri" w:cs="Calibri"/>
          <w:sz w:val="22"/>
          <w:szCs w:val="22"/>
          <w:lang w:eastAsia="hr-BA"/>
        </w:rPr>
        <w:t>the body responsible for shaping the design of research, analysis, and interventions, as well as addressing any emerging challenges throughout the research lifecycle</w:t>
      </w:r>
      <w:r>
        <w:rPr>
          <w:rFonts w:ascii="Calibri" w:hAnsi="Calibri" w:cs="Calibri"/>
          <w:sz w:val="22"/>
          <w:szCs w:val="22"/>
          <w:lang w:eastAsia="hr-BA"/>
        </w:rPr>
        <w:t xml:space="preserve">, </w:t>
      </w:r>
      <w:r w:rsidRPr="003547C6">
        <w:rPr>
          <w:rFonts w:ascii="Calibri" w:hAnsi="Calibri" w:cs="Calibri"/>
          <w:sz w:val="22"/>
          <w:szCs w:val="22"/>
          <w:lang w:eastAsia="hr-BA"/>
        </w:rPr>
        <w:t xml:space="preserve">was a critical prerequisite for the successful launch of </w:t>
      </w:r>
      <w:r>
        <w:rPr>
          <w:rFonts w:ascii="Calibri" w:hAnsi="Calibri" w:cs="Calibri"/>
          <w:sz w:val="22"/>
          <w:szCs w:val="22"/>
          <w:lang w:eastAsia="hr-BA"/>
        </w:rPr>
        <w:t xml:space="preserve">field research </w:t>
      </w:r>
      <w:r w:rsidRPr="003547C6">
        <w:rPr>
          <w:rFonts w:ascii="Calibri" w:hAnsi="Calibri" w:cs="Calibri"/>
          <w:sz w:val="22"/>
          <w:szCs w:val="22"/>
          <w:lang w:eastAsia="hr-BA"/>
        </w:rPr>
        <w:t xml:space="preserve">activities. The inaugural CRG meeting took place in October 2025, where extensive discussions led to further refinement of the methodology. As a result, the approach was fine-tuned to </w:t>
      </w:r>
      <w:proofErr w:type="gramStart"/>
      <w:r w:rsidRPr="003547C6">
        <w:rPr>
          <w:rFonts w:ascii="Calibri" w:hAnsi="Calibri" w:cs="Calibri"/>
          <w:sz w:val="22"/>
          <w:szCs w:val="22"/>
          <w:lang w:eastAsia="hr-BA"/>
        </w:rPr>
        <w:t>more accurately align with the specific contextual needs of the project</w:t>
      </w:r>
      <w:proofErr w:type="gramEnd"/>
      <w:r w:rsidRPr="003547C6">
        <w:rPr>
          <w:rFonts w:ascii="Calibri" w:hAnsi="Calibri" w:cs="Calibri"/>
          <w:sz w:val="22"/>
          <w:szCs w:val="22"/>
          <w:lang w:eastAsia="hr-BA"/>
        </w:rPr>
        <w:t>, ensuring its relevance and effectiveness in addressing the unique challenges at hand.</w:t>
      </w:r>
    </w:p>
    <w:p w14:paraId="6BB29159" w14:textId="77777777" w:rsidR="001F218C" w:rsidRDefault="001F218C" w:rsidP="00AD13D5">
      <w:pPr>
        <w:jc w:val="both"/>
        <w:textAlignment w:val="baseline"/>
        <w:rPr>
          <w:rFonts w:ascii="Calibri" w:hAnsi="Calibri" w:cs="Calibri"/>
          <w:sz w:val="22"/>
          <w:szCs w:val="22"/>
          <w:lang w:eastAsia="hr-BA"/>
        </w:rPr>
      </w:pPr>
    </w:p>
    <w:p w14:paraId="0E46A422" w14:textId="2AE873F1" w:rsidR="00AD13D5" w:rsidRDefault="001F218C" w:rsidP="00AD13D5">
      <w:pPr>
        <w:jc w:val="both"/>
        <w:textAlignment w:val="baseline"/>
        <w:rPr>
          <w:rFonts w:ascii="Calibri" w:hAnsi="Calibri" w:cs="Calibri"/>
          <w:sz w:val="22"/>
          <w:szCs w:val="22"/>
          <w:lang w:eastAsia="hr-BA"/>
        </w:rPr>
      </w:pPr>
      <w:r w:rsidRPr="001F218C">
        <w:rPr>
          <w:rFonts w:ascii="Calibri" w:hAnsi="Calibri" w:cs="Calibri"/>
          <w:sz w:val="22"/>
          <w:szCs w:val="22"/>
          <w:lang w:eastAsia="hr-BA"/>
        </w:rPr>
        <w:t>To ensure national representativeness, the sample design was meticulously developed using stratified random sampling across 15 geographic regions. In addition, the research incorporated booster samples targeting 10 municipalities with fragile intergroup relations and elevated social tensions. This approach allowed the project to capture a comprehensive and nuanced picture of the socio-political landscape. The sampling size and structure were carefully optimized to ensure robust findings, minimizing the potential for error while providing reliable and actionable insights.</w:t>
      </w:r>
    </w:p>
    <w:p w14:paraId="110A7C4C" w14:textId="77777777" w:rsidR="001F218C" w:rsidRPr="00AD13D5" w:rsidRDefault="001F218C" w:rsidP="00AD13D5">
      <w:pPr>
        <w:jc w:val="both"/>
        <w:textAlignment w:val="baseline"/>
        <w:rPr>
          <w:rFonts w:ascii="Calibri" w:hAnsi="Calibri" w:cs="Calibri"/>
          <w:sz w:val="22"/>
          <w:szCs w:val="22"/>
          <w:lang w:eastAsia="hr-BA"/>
        </w:rPr>
      </w:pPr>
    </w:p>
    <w:p w14:paraId="62749175" w14:textId="51A2CFAB" w:rsidR="008806E0" w:rsidRDefault="00EA0EED" w:rsidP="00AD13D5">
      <w:pPr>
        <w:jc w:val="both"/>
        <w:textAlignment w:val="baseline"/>
        <w:rPr>
          <w:rFonts w:ascii="Calibri" w:hAnsi="Calibri" w:cs="Calibri"/>
          <w:sz w:val="22"/>
          <w:szCs w:val="22"/>
          <w:lang w:eastAsia="hr-BA"/>
        </w:rPr>
      </w:pPr>
      <w:r w:rsidRPr="00EA0EED">
        <w:rPr>
          <w:rFonts w:ascii="Calibri" w:hAnsi="Calibri" w:cs="Calibri"/>
          <w:sz w:val="22"/>
          <w:szCs w:val="22"/>
          <w:lang w:eastAsia="hr-BA"/>
        </w:rPr>
        <w:lastRenderedPageBreak/>
        <w:t xml:space="preserve">Immediately after the project began, the project team </w:t>
      </w:r>
      <w:r w:rsidR="00791791">
        <w:rPr>
          <w:rFonts w:ascii="Calibri" w:hAnsi="Calibri" w:cs="Calibri"/>
          <w:sz w:val="22"/>
          <w:szCs w:val="22"/>
          <w:lang w:eastAsia="hr-BA"/>
        </w:rPr>
        <w:t xml:space="preserve">conducted a </w:t>
      </w:r>
      <w:r w:rsidRPr="00EA0EED">
        <w:rPr>
          <w:rFonts w:ascii="Calibri" w:hAnsi="Calibri" w:cs="Calibri"/>
          <w:sz w:val="22"/>
          <w:szCs w:val="22"/>
          <w:lang w:eastAsia="hr-BA"/>
        </w:rPr>
        <w:t>rigorous and transparent selection process</w:t>
      </w:r>
      <w:r w:rsidR="006E6B36">
        <w:rPr>
          <w:rFonts w:ascii="Calibri" w:hAnsi="Calibri" w:cs="Calibri"/>
          <w:sz w:val="22"/>
          <w:szCs w:val="22"/>
          <w:lang w:eastAsia="hr-BA"/>
        </w:rPr>
        <w:t xml:space="preserve"> for a local service provider and Prism Research </w:t>
      </w:r>
      <w:r w:rsidR="002B1F5F">
        <w:rPr>
          <w:rFonts w:ascii="Calibri" w:hAnsi="Calibri" w:cs="Calibri"/>
          <w:sz w:val="22"/>
          <w:szCs w:val="22"/>
          <w:lang w:eastAsia="hr-BA"/>
        </w:rPr>
        <w:t xml:space="preserve">was selected and </w:t>
      </w:r>
      <w:r w:rsidRPr="00EA0EED">
        <w:rPr>
          <w:rFonts w:ascii="Calibri" w:hAnsi="Calibri" w:cs="Calibri"/>
          <w:sz w:val="22"/>
          <w:szCs w:val="22"/>
          <w:lang w:eastAsia="hr-BA"/>
        </w:rPr>
        <w:t>contracted in early November 2025.</w:t>
      </w:r>
      <w:r w:rsidR="001F218C">
        <w:rPr>
          <w:rFonts w:ascii="Calibri" w:hAnsi="Calibri" w:cs="Calibri"/>
          <w:sz w:val="22"/>
          <w:szCs w:val="22"/>
          <w:lang w:eastAsia="hr-BA"/>
        </w:rPr>
        <w:t xml:space="preserve"> </w:t>
      </w:r>
      <w:r w:rsidR="00C06243">
        <w:rPr>
          <w:rFonts w:ascii="Calibri" w:hAnsi="Calibri" w:cs="Calibri"/>
          <w:sz w:val="22"/>
          <w:szCs w:val="22"/>
          <w:lang w:eastAsia="hr-BA"/>
        </w:rPr>
        <w:t>Prism Research e</w:t>
      </w:r>
      <w:r w:rsidR="00AD13D5" w:rsidRPr="00AD13D5">
        <w:rPr>
          <w:rFonts w:ascii="Calibri" w:hAnsi="Calibri" w:cs="Calibri"/>
          <w:sz w:val="22"/>
          <w:szCs w:val="22"/>
          <w:lang w:eastAsia="hr-BA"/>
        </w:rPr>
        <w:t xml:space="preserve">numerator training took place in October 2025, ensuring </w:t>
      </w:r>
      <w:r w:rsidR="0009141A">
        <w:rPr>
          <w:rFonts w:ascii="Calibri" w:hAnsi="Calibri" w:cs="Calibri"/>
          <w:sz w:val="22"/>
          <w:szCs w:val="22"/>
          <w:lang w:eastAsia="hr-BA"/>
        </w:rPr>
        <w:t xml:space="preserve">that </w:t>
      </w:r>
      <w:r w:rsidR="00AD13D5" w:rsidRPr="00AD13D5">
        <w:rPr>
          <w:rFonts w:ascii="Calibri" w:hAnsi="Calibri" w:cs="Calibri"/>
          <w:sz w:val="22"/>
          <w:szCs w:val="22"/>
          <w:lang w:eastAsia="hr-BA"/>
        </w:rPr>
        <w:t xml:space="preserve">field staff were adequately prepared for data collection. The field research phase began in November 2025, with </w:t>
      </w:r>
      <w:proofErr w:type="spellStart"/>
      <w:r w:rsidR="00AD13D5" w:rsidRPr="00AD13D5">
        <w:rPr>
          <w:rFonts w:ascii="Calibri" w:hAnsi="Calibri" w:cs="Calibri"/>
          <w:sz w:val="22"/>
          <w:szCs w:val="22"/>
          <w:lang w:eastAsia="hr-BA"/>
        </w:rPr>
        <w:t>SeeD</w:t>
      </w:r>
      <w:proofErr w:type="spellEnd"/>
      <w:r w:rsidR="00AD13D5" w:rsidRPr="00AD13D5">
        <w:rPr>
          <w:rFonts w:ascii="Calibri" w:hAnsi="Calibri" w:cs="Calibri"/>
          <w:sz w:val="22"/>
          <w:szCs w:val="22"/>
          <w:lang w:eastAsia="hr-BA"/>
        </w:rPr>
        <w:t xml:space="preserve"> providing continuous technical assistance and quality control. </w:t>
      </w:r>
      <w:r w:rsidR="00F642DD" w:rsidRPr="008806E0">
        <w:rPr>
          <w:rFonts w:ascii="Calibri" w:hAnsi="Calibri" w:cs="Calibri"/>
          <w:sz w:val="22"/>
          <w:szCs w:val="22"/>
          <w:lang w:eastAsia="hr-BA"/>
        </w:rPr>
        <w:t xml:space="preserve">The enumerators followed strict protocols to ensure the accuracy and reliability of the collected data. </w:t>
      </w:r>
    </w:p>
    <w:p w14:paraId="1EE3BE11" w14:textId="77777777" w:rsidR="008806E0" w:rsidRDefault="008806E0" w:rsidP="00AD13D5">
      <w:pPr>
        <w:jc w:val="both"/>
        <w:textAlignment w:val="baseline"/>
        <w:rPr>
          <w:rFonts w:ascii="Calibri" w:hAnsi="Calibri" w:cs="Calibri"/>
          <w:sz w:val="22"/>
          <w:szCs w:val="22"/>
          <w:lang w:eastAsia="hr-BA"/>
        </w:rPr>
      </w:pPr>
    </w:p>
    <w:p w14:paraId="5BBA71D1" w14:textId="0951BDF5" w:rsidR="00AD13D5" w:rsidRPr="00AD13D5" w:rsidRDefault="00AD13D5" w:rsidP="00AD13D5">
      <w:pPr>
        <w:jc w:val="both"/>
        <w:textAlignment w:val="baseline"/>
        <w:rPr>
          <w:rFonts w:ascii="Calibri" w:hAnsi="Calibri" w:cs="Calibri"/>
          <w:sz w:val="22"/>
          <w:szCs w:val="22"/>
          <w:lang w:eastAsia="hr-BA"/>
        </w:rPr>
      </w:pPr>
      <w:r w:rsidRPr="00AD13D5">
        <w:rPr>
          <w:rFonts w:ascii="Calibri" w:hAnsi="Calibri" w:cs="Calibri"/>
          <w:sz w:val="22"/>
          <w:szCs w:val="22"/>
          <w:lang w:eastAsia="hr-BA"/>
        </w:rPr>
        <w:t xml:space="preserve">By </w:t>
      </w:r>
      <w:r w:rsidR="00CC6579">
        <w:rPr>
          <w:rFonts w:ascii="Calibri" w:hAnsi="Calibri" w:cs="Calibri"/>
          <w:sz w:val="22"/>
          <w:szCs w:val="22"/>
          <w:lang w:eastAsia="hr-BA"/>
        </w:rPr>
        <w:t xml:space="preserve">the </w:t>
      </w:r>
      <w:r w:rsidR="001F218C">
        <w:rPr>
          <w:rFonts w:ascii="Calibri" w:hAnsi="Calibri" w:cs="Calibri"/>
          <w:sz w:val="22"/>
          <w:szCs w:val="22"/>
          <w:lang w:eastAsia="hr-BA"/>
        </w:rPr>
        <w:t xml:space="preserve">end </w:t>
      </w:r>
      <w:r w:rsidR="00CC6579">
        <w:rPr>
          <w:rFonts w:ascii="Calibri" w:hAnsi="Calibri" w:cs="Calibri"/>
          <w:sz w:val="22"/>
          <w:szCs w:val="22"/>
          <w:lang w:eastAsia="hr-BA"/>
        </w:rPr>
        <w:t xml:space="preserve">of </w:t>
      </w:r>
      <w:r w:rsidRPr="00AD13D5">
        <w:rPr>
          <w:rFonts w:ascii="Calibri" w:hAnsi="Calibri" w:cs="Calibri"/>
          <w:sz w:val="22"/>
          <w:szCs w:val="22"/>
          <w:lang w:eastAsia="hr-BA"/>
        </w:rPr>
        <w:t xml:space="preserve">December 2025, the first wave of data collection was completed. </w:t>
      </w:r>
      <w:proofErr w:type="spellStart"/>
      <w:r w:rsidRPr="00AD13D5">
        <w:rPr>
          <w:rFonts w:ascii="Calibri" w:hAnsi="Calibri" w:cs="Calibri"/>
          <w:sz w:val="22"/>
          <w:szCs w:val="22"/>
          <w:lang w:eastAsia="hr-BA"/>
        </w:rPr>
        <w:t>SeeD</w:t>
      </w:r>
      <w:proofErr w:type="spellEnd"/>
      <w:r w:rsidRPr="00AD13D5">
        <w:rPr>
          <w:rFonts w:ascii="Calibri" w:hAnsi="Calibri" w:cs="Calibri"/>
          <w:sz w:val="22"/>
          <w:szCs w:val="22"/>
          <w:lang w:eastAsia="hr-BA"/>
        </w:rPr>
        <w:t xml:space="preserve"> ensured that the fieldwork adhered to the highest standards of quality control. Following data collection, the data </w:t>
      </w:r>
      <w:r w:rsidR="00BD58AC">
        <w:rPr>
          <w:rFonts w:ascii="Calibri" w:hAnsi="Calibri" w:cs="Calibri"/>
          <w:sz w:val="22"/>
          <w:szCs w:val="22"/>
          <w:lang w:eastAsia="hr-BA"/>
        </w:rPr>
        <w:t>were</w:t>
      </w:r>
      <w:r w:rsidR="00BD58AC" w:rsidRPr="00AD13D5">
        <w:rPr>
          <w:rFonts w:ascii="Calibri" w:hAnsi="Calibri" w:cs="Calibri"/>
          <w:sz w:val="22"/>
          <w:szCs w:val="22"/>
          <w:lang w:eastAsia="hr-BA"/>
        </w:rPr>
        <w:t xml:space="preserve"> </w:t>
      </w:r>
      <w:r w:rsidRPr="00AD13D5">
        <w:rPr>
          <w:rFonts w:ascii="Calibri" w:hAnsi="Calibri" w:cs="Calibri"/>
          <w:sz w:val="22"/>
          <w:szCs w:val="22"/>
          <w:lang w:eastAsia="hr-BA"/>
        </w:rPr>
        <w:t>cleaned, and preliminary analysis began. Additional follow-up research was conducted in certain regions where initial sampling had proven insufficient</w:t>
      </w:r>
      <w:r w:rsidR="002845DE" w:rsidRPr="002845DE">
        <w:rPr>
          <w:rFonts w:ascii="Calibri" w:hAnsi="Calibri" w:cs="Calibri"/>
          <w:sz w:val="22"/>
          <w:szCs w:val="22"/>
          <w:lang w:eastAsia="hr-BA"/>
        </w:rPr>
        <w:t xml:space="preserve">, such as </w:t>
      </w:r>
      <w:proofErr w:type="spellStart"/>
      <w:r w:rsidR="002845DE" w:rsidRPr="002845DE">
        <w:rPr>
          <w:rFonts w:ascii="Calibri" w:hAnsi="Calibri" w:cs="Calibri"/>
          <w:sz w:val="22"/>
          <w:szCs w:val="22"/>
          <w:lang w:eastAsia="hr-BA"/>
        </w:rPr>
        <w:t>Posavina</w:t>
      </w:r>
      <w:proofErr w:type="spellEnd"/>
      <w:r w:rsidR="002845DE" w:rsidRPr="002845DE">
        <w:rPr>
          <w:rFonts w:ascii="Calibri" w:hAnsi="Calibri" w:cs="Calibri"/>
          <w:sz w:val="22"/>
          <w:szCs w:val="22"/>
          <w:lang w:eastAsia="hr-BA"/>
        </w:rPr>
        <w:t xml:space="preserve"> and </w:t>
      </w:r>
      <w:proofErr w:type="spellStart"/>
      <w:r w:rsidR="002845DE" w:rsidRPr="002845DE">
        <w:rPr>
          <w:rFonts w:ascii="Calibri" w:hAnsi="Calibri" w:cs="Calibri"/>
          <w:sz w:val="22"/>
          <w:szCs w:val="22"/>
          <w:lang w:eastAsia="hr-BA"/>
        </w:rPr>
        <w:t>Odžak</w:t>
      </w:r>
      <w:proofErr w:type="spellEnd"/>
      <w:r w:rsidR="002845DE" w:rsidRPr="002845DE">
        <w:rPr>
          <w:rFonts w:ascii="Calibri" w:hAnsi="Calibri" w:cs="Calibri"/>
          <w:sz w:val="22"/>
          <w:szCs w:val="22"/>
          <w:lang w:eastAsia="hr-BA"/>
        </w:rPr>
        <w:t xml:space="preserve"> municipality, where follow-up fieldwork was needed due to sampling gaps.</w:t>
      </w:r>
    </w:p>
    <w:p w14:paraId="1AAD38C4" w14:textId="77777777" w:rsidR="00AD13D5" w:rsidRPr="00AD13D5" w:rsidRDefault="00AD13D5" w:rsidP="00AD13D5">
      <w:pPr>
        <w:jc w:val="both"/>
        <w:textAlignment w:val="baseline"/>
        <w:rPr>
          <w:rFonts w:ascii="Calibri" w:hAnsi="Calibri" w:cs="Calibri"/>
          <w:sz w:val="22"/>
          <w:szCs w:val="22"/>
          <w:lang w:eastAsia="hr-BA"/>
        </w:rPr>
      </w:pPr>
    </w:p>
    <w:p w14:paraId="026788E1" w14:textId="77777777" w:rsidR="00AD13D5" w:rsidRPr="00AD13D5" w:rsidRDefault="00AD13D5" w:rsidP="00AD13D5">
      <w:pPr>
        <w:jc w:val="both"/>
        <w:textAlignment w:val="baseline"/>
        <w:rPr>
          <w:rFonts w:ascii="Calibri" w:hAnsi="Calibri" w:cs="Calibri"/>
          <w:sz w:val="22"/>
          <w:szCs w:val="22"/>
          <w:lang w:eastAsia="hr-BA"/>
        </w:rPr>
      </w:pPr>
      <w:r w:rsidRPr="00AD13D5">
        <w:rPr>
          <w:rFonts w:ascii="Calibri" w:hAnsi="Calibri" w:cs="Calibri"/>
          <w:sz w:val="22"/>
          <w:szCs w:val="22"/>
          <w:lang w:eastAsia="hr-BA"/>
        </w:rPr>
        <w:t>Furthermore, in support of the project, a resource person from Ukraine with a strong background in SCORE methodology was engaged to provide expert technical support to the local team. This brought additional expertise to the project, particularly in navigating the complexities of implementing research methodologies in a politically sensitive and divided environment.</w:t>
      </w:r>
    </w:p>
    <w:p w14:paraId="58FAD2C3" w14:textId="77777777" w:rsidR="00AD13D5" w:rsidRPr="00AD13D5" w:rsidRDefault="00AD13D5" w:rsidP="00AD13D5">
      <w:pPr>
        <w:jc w:val="both"/>
        <w:textAlignment w:val="baseline"/>
        <w:rPr>
          <w:rFonts w:ascii="Calibri" w:hAnsi="Calibri" w:cs="Calibri"/>
          <w:sz w:val="22"/>
          <w:szCs w:val="22"/>
          <w:lang w:eastAsia="hr-BA"/>
        </w:rPr>
      </w:pPr>
    </w:p>
    <w:p w14:paraId="2974776F" w14:textId="65C957D2" w:rsidR="00AD13D5" w:rsidRPr="00AD13D5" w:rsidRDefault="00AD13D5" w:rsidP="00AD13D5">
      <w:pPr>
        <w:jc w:val="both"/>
        <w:textAlignment w:val="baseline"/>
        <w:rPr>
          <w:rFonts w:ascii="Calibri" w:hAnsi="Calibri" w:cs="Calibri"/>
          <w:sz w:val="22"/>
          <w:szCs w:val="22"/>
          <w:lang w:eastAsia="hr-BA"/>
        </w:rPr>
      </w:pPr>
      <w:r w:rsidRPr="00AD13D5">
        <w:rPr>
          <w:rFonts w:ascii="Calibri" w:hAnsi="Calibri" w:cs="Calibri"/>
          <w:sz w:val="22"/>
          <w:szCs w:val="22"/>
          <w:lang w:eastAsia="hr-BA"/>
        </w:rPr>
        <w:t xml:space="preserve">Preliminary findings from the first wave of data collection will be shared with the </w:t>
      </w:r>
      <w:r w:rsidR="003A2EB5">
        <w:rPr>
          <w:rFonts w:ascii="Calibri" w:hAnsi="Calibri" w:cs="Calibri"/>
          <w:sz w:val="22"/>
          <w:szCs w:val="22"/>
          <w:lang w:eastAsia="hr-BA"/>
        </w:rPr>
        <w:t>CRG</w:t>
      </w:r>
      <w:r w:rsidRPr="00AD13D5">
        <w:rPr>
          <w:rFonts w:ascii="Calibri" w:hAnsi="Calibri" w:cs="Calibri"/>
          <w:sz w:val="22"/>
          <w:szCs w:val="22"/>
          <w:lang w:eastAsia="hr-BA"/>
        </w:rPr>
        <w:t xml:space="preserve"> in early 2026. These findings will form the foundation for the Social Cohesion Trends &amp; Changes Report, which will provide critical insights into trends such as identity dynamics, intergroup cooperation, and civic engagement.</w:t>
      </w:r>
    </w:p>
    <w:p w14:paraId="741699B7" w14:textId="77777777" w:rsidR="00AD13D5" w:rsidRPr="00AD13D5" w:rsidRDefault="00AD13D5" w:rsidP="00AD13D5">
      <w:pPr>
        <w:jc w:val="both"/>
        <w:textAlignment w:val="baseline"/>
        <w:rPr>
          <w:rFonts w:ascii="Calibri" w:hAnsi="Calibri" w:cs="Calibri"/>
          <w:sz w:val="22"/>
          <w:szCs w:val="22"/>
          <w:lang w:eastAsia="hr-BA"/>
        </w:rPr>
      </w:pPr>
    </w:p>
    <w:p w14:paraId="24CCCB4B" w14:textId="0A4B5E46" w:rsidR="00E32027" w:rsidRDefault="00AD13D5" w:rsidP="009B3285">
      <w:pPr>
        <w:jc w:val="both"/>
        <w:textAlignment w:val="baseline"/>
        <w:rPr>
          <w:rFonts w:ascii="Calibri" w:hAnsi="Calibri" w:cs="Calibri"/>
          <w:sz w:val="22"/>
          <w:szCs w:val="22"/>
          <w:highlight w:val="yellow"/>
          <w:lang w:eastAsia="hr-BA"/>
        </w:rPr>
      </w:pPr>
      <w:r w:rsidRPr="00AD13D5">
        <w:rPr>
          <w:rFonts w:ascii="Calibri" w:hAnsi="Calibri" w:cs="Calibri"/>
          <w:sz w:val="22"/>
          <w:szCs w:val="22"/>
          <w:lang w:eastAsia="hr-BA"/>
        </w:rPr>
        <w:t>By the end of 2025, the SCORE Project successfully established a solid research framework and laid the groundwork for future evidence-based interventions. This will serve as an essential resource for policymakers, development practitioners, and civil society organizations working to address divisions and promote long-term stability in Bosnia and Herzegovina.</w:t>
      </w:r>
    </w:p>
    <w:p w14:paraId="0BB9722B" w14:textId="77777777" w:rsidR="009E2E74" w:rsidRPr="009E2E74" w:rsidRDefault="009E2E74" w:rsidP="009E2E74">
      <w:pPr>
        <w:jc w:val="both"/>
        <w:textAlignment w:val="baseline"/>
        <w:rPr>
          <w:rFonts w:ascii="Calibri" w:hAnsi="Calibri" w:cs="Calibri"/>
          <w:sz w:val="22"/>
          <w:szCs w:val="22"/>
          <w:lang w:eastAsia="hr-BA"/>
        </w:rPr>
      </w:pPr>
    </w:p>
    <w:p w14:paraId="0FE04523" w14:textId="6DDAB803" w:rsidR="002E14E9" w:rsidRPr="00753A51" w:rsidRDefault="002E14E9" w:rsidP="328961EC">
      <w:pPr>
        <w:pStyle w:val="NoSpacing"/>
        <w:spacing w:before="120" w:after="120"/>
        <w:jc w:val="both"/>
        <w:rPr>
          <w:rFonts w:asciiTheme="minorHAnsi" w:hAnsiTheme="minorHAnsi" w:cstheme="minorBidi"/>
          <w:b/>
          <w:bCs/>
          <w:shd w:val="clear" w:color="auto" w:fill="8EAADB" w:themeFill="accent1" w:themeFillTint="99"/>
        </w:rPr>
      </w:pPr>
      <w:bookmarkStart w:id="29" w:name="_fobjpze8ffz7"/>
      <w:bookmarkStart w:id="30" w:name="_Hlk160033761"/>
      <w:bookmarkEnd w:id="29"/>
      <w:bookmarkEnd w:id="30"/>
      <w:r w:rsidRPr="328961EC">
        <w:rPr>
          <w:rFonts w:asciiTheme="minorHAnsi" w:hAnsiTheme="minorHAnsi" w:cstheme="minorBidi"/>
          <w:b/>
          <w:bCs/>
          <w:shd w:val="clear" w:color="auto" w:fill="8EAADB" w:themeFill="accent1" w:themeFillTint="99"/>
        </w:rPr>
        <w:t>Out</w:t>
      </w:r>
      <w:r w:rsidR="00685CE0">
        <w:rPr>
          <w:rFonts w:asciiTheme="minorHAnsi" w:hAnsiTheme="minorHAnsi" w:cstheme="minorBidi"/>
          <w:b/>
          <w:bCs/>
          <w:shd w:val="clear" w:color="auto" w:fill="8EAADB" w:themeFill="accent1" w:themeFillTint="99"/>
        </w:rPr>
        <w:t>put</w:t>
      </w:r>
      <w:r w:rsidRPr="328961EC">
        <w:rPr>
          <w:rFonts w:asciiTheme="minorHAnsi" w:hAnsiTheme="minorHAnsi" w:cstheme="minorBidi"/>
          <w:b/>
          <w:bCs/>
          <w:shd w:val="clear" w:color="auto" w:fill="8EAADB" w:themeFill="accent1" w:themeFillTint="99"/>
        </w:rPr>
        <w:t xml:space="preserve"> 2: </w:t>
      </w:r>
      <w:r w:rsidR="009D5AF0" w:rsidRPr="009D5AF0">
        <w:rPr>
          <w:rFonts w:asciiTheme="minorHAnsi" w:hAnsiTheme="minorHAnsi" w:cstheme="minorBidi"/>
          <w:b/>
          <w:bCs/>
          <w:shd w:val="clear" w:color="auto" w:fill="8EAADB" w:themeFill="accent1" w:themeFillTint="99"/>
        </w:rPr>
        <w:t xml:space="preserve">Targeted oversampling and analysis at the local level, in communities prone to heightened social tensions, to generate in-depth local insights that inform tailored policy responses and address context-specific challenges to social cohesion and gender inclusion.  </w:t>
      </w:r>
    </w:p>
    <w:p w14:paraId="42DD54E0" w14:textId="1FE023AA" w:rsidR="006A4968" w:rsidRDefault="006A4968" w:rsidP="006A4968">
      <w:pPr>
        <w:pStyle w:val="NoSpacing"/>
        <w:spacing w:before="120" w:after="120"/>
        <w:jc w:val="both"/>
        <w:rPr>
          <w:rFonts w:asciiTheme="minorHAnsi" w:hAnsiTheme="minorHAnsi" w:cstheme="minorBidi"/>
        </w:rPr>
      </w:pPr>
      <w:r w:rsidRPr="00404D46">
        <w:rPr>
          <w:rFonts w:asciiTheme="minorHAnsi" w:hAnsiTheme="minorHAnsi" w:cstheme="minorBidi"/>
        </w:rPr>
        <w:t>The municipalities selected for the Booster SCORE Survey were proposed by the project team and formally approved by the Project Board (PB). These municipalities were strategically chosen to ensure both national representativeness and local relevance. The selection process considered geographic, demographic, and socio-political factors to create a balanced mix of urban and rural municipalities with varying ethnic compositions and levels of social cohesion. The chosen municipalities included Brčko District</w:t>
      </w:r>
      <w:r>
        <w:rPr>
          <w:rFonts w:asciiTheme="minorHAnsi" w:hAnsiTheme="minorHAnsi" w:cstheme="minorBidi"/>
        </w:rPr>
        <w:t xml:space="preserve"> BIH</w:t>
      </w:r>
      <w:r w:rsidRPr="00404D46">
        <w:rPr>
          <w:rFonts w:asciiTheme="minorHAnsi" w:hAnsiTheme="minorHAnsi" w:cstheme="minorBidi"/>
        </w:rPr>
        <w:t xml:space="preserve">, Velika Kladuša, Doboj, Mostar, Stolac, </w:t>
      </w:r>
      <w:proofErr w:type="spellStart"/>
      <w:r w:rsidRPr="00404D46">
        <w:rPr>
          <w:rFonts w:asciiTheme="minorHAnsi" w:hAnsiTheme="minorHAnsi" w:cstheme="minorBidi"/>
        </w:rPr>
        <w:t>Teslić</w:t>
      </w:r>
      <w:proofErr w:type="spellEnd"/>
      <w:r w:rsidRPr="00404D46">
        <w:rPr>
          <w:rFonts w:asciiTheme="minorHAnsi" w:hAnsiTheme="minorHAnsi" w:cstheme="minorBidi"/>
        </w:rPr>
        <w:t xml:space="preserve">, Srebrenica, </w:t>
      </w:r>
      <w:proofErr w:type="spellStart"/>
      <w:r w:rsidRPr="00404D46">
        <w:rPr>
          <w:rFonts w:asciiTheme="minorHAnsi" w:hAnsiTheme="minorHAnsi" w:cstheme="minorBidi"/>
        </w:rPr>
        <w:t>Odžak</w:t>
      </w:r>
      <w:proofErr w:type="spellEnd"/>
      <w:r w:rsidRPr="00404D46">
        <w:rPr>
          <w:rFonts w:asciiTheme="minorHAnsi" w:hAnsiTheme="minorHAnsi" w:cstheme="minorBidi"/>
        </w:rPr>
        <w:t xml:space="preserve">, </w:t>
      </w:r>
      <w:proofErr w:type="spellStart"/>
      <w:r w:rsidRPr="00404D46">
        <w:rPr>
          <w:rFonts w:asciiTheme="minorHAnsi" w:hAnsiTheme="minorHAnsi" w:cstheme="minorBidi"/>
        </w:rPr>
        <w:t>Prnjavor</w:t>
      </w:r>
      <w:proofErr w:type="spellEnd"/>
      <w:r w:rsidRPr="00404D46">
        <w:rPr>
          <w:rFonts w:asciiTheme="minorHAnsi" w:hAnsiTheme="minorHAnsi" w:cstheme="minorBidi"/>
        </w:rPr>
        <w:t xml:space="preserve">, and </w:t>
      </w:r>
      <w:proofErr w:type="spellStart"/>
      <w:r w:rsidRPr="00404D46">
        <w:rPr>
          <w:rFonts w:asciiTheme="minorHAnsi" w:hAnsiTheme="minorHAnsi" w:cstheme="minorBidi"/>
        </w:rPr>
        <w:t>Jajce</w:t>
      </w:r>
      <w:proofErr w:type="spellEnd"/>
      <w:r w:rsidRPr="00404D46">
        <w:rPr>
          <w:rFonts w:asciiTheme="minorHAnsi" w:hAnsiTheme="minorHAnsi" w:cstheme="minorBidi"/>
        </w:rPr>
        <w:t>. These locations were selected to represent a cross-section of Bosnia and Herzegovina’s complex social and ethnic landscape, with a particular focus on areas that have experienced historical intergroup tension, low civic participation, and the need for targeted interventions.</w:t>
      </w:r>
      <w:r>
        <w:rPr>
          <w:rFonts w:asciiTheme="minorHAnsi" w:hAnsiTheme="minorHAnsi" w:cstheme="minorBidi"/>
        </w:rPr>
        <w:t xml:space="preserve"> </w:t>
      </w:r>
      <w:r w:rsidRPr="00404D46">
        <w:rPr>
          <w:rFonts w:asciiTheme="minorHAnsi" w:hAnsiTheme="minorHAnsi" w:cstheme="minorBidi"/>
        </w:rPr>
        <w:t xml:space="preserve">The only exception to this process was </w:t>
      </w:r>
      <w:proofErr w:type="spellStart"/>
      <w:r>
        <w:rPr>
          <w:rFonts w:asciiTheme="minorHAnsi" w:hAnsiTheme="minorHAnsi" w:cstheme="minorBidi"/>
        </w:rPr>
        <w:t>Č</w:t>
      </w:r>
      <w:r w:rsidRPr="00404D46">
        <w:rPr>
          <w:rFonts w:asciiTheme="minorHAnsi" w:hAnsiTheme="minorHAnsi" w:cstheme="minorBidi"/>
        </w:rPr>
        <w:t>apljina</w:t>
      </w:r>
      <w:proofErr w:type="spellEnd"/>
      <w:r w:rsidRPr="00404D46">
        <w:rPr>
          <w:rFonts w:asciiTheme="minorHAnsi" w:hAnsiTheme="minorHAnsi" w:cstheme="minorBidi"/>
        </w:rPr>
        <w:t>, which declined participation.</w:t>
      </w:r>
    </w:p>
    <w:p w14:paraId="3372CF7D" w14:textId="77777777" w:rsidR="006A4968" w:rsidRDefault="006A4968" w:rsidP="006A4968">
      <w:pPr>
        <w:pStyle w:val="NoSpacing"/>
        <w:spacing w:before="120" w:after="120"/>
        <w:jc w:val="both"/>
        <w:rPr>
          <w:rFonts w:asciiTheme="minorHAnsi" w:hAnsiTheme="minorHAnsi" w:cstheme="minorBidi"/>
        </w:rPr>
      </w:pPr>
      <w:r w:rsidRPr="00404D46">
        <w:rPr>
          <w:rFonts w:asciiTheme="minorHAnsi" w:hAnsiTheme="minorHAnsi" w:cstheme="minorBidi"/>
        </w:rPr>
        <w:t>The project’s approach to municipal selection was aligned with the SCORE methodology, ensuring that the sample was both statistically robust and contextually meaningful. The municipalities represented both entities</w:t>
      </w:r>
      <w:r>
        <w:rPr>
          <w:rFonts w:asciiTheme="minorHAnsi" w:hAnsiTheme="minorHAnsi" w:cstheme="minorBidi"/>
        </w:rPr>
        <w:t xml:space="preserve">, FBIH and RS, </w:t>
      </w:r>
      <w:r w:rsidRPr="00404D46">
        <w:rPr>
          <w:rFonts w:asciiTheme="minorHAnsi" w:hAnsiTheme="minorHAnsi" w:cstheme="minorBidi"/>
        </w:rPr>
        <w:t>as well as Brčko District</w:t>
      </w:r>
      <w:r>
        <w:rPr>
          <w:rFonts w:asciiTheme="minorHAnsi" w:hAnsiTheme="minorHAnsi" w:cstheme="minorBidi"/>
        </w:rPr>
        <w:t xml:space="preserve"> BIH</w:t>
      </w:r>
      <w:r w:rsidRPr="00404D46">
        <w:rPr>
          <w:rFonts w:asciiTheme="minorHAnsi" w:hAnsiTheme="minorHAnsi" w:cstheme="minorBidi"/>
        </w:rPr>
        <w:t xml:space="preserve">, guaranteeing equitable geographic representation across regions. The selected municipalities also include a range of socio-political dynamics, from urban </w:t>
      </w:r>
      <w:proofErr w:type="spellStart"/>
      <w:r w:rsidRPr="00404D46">
        <w:rPr>
          <w:rFonts w:asciiTheme="minorHAnsi" w:hAnsiTheme="minorHAnsi" w:cstheme="minorBidi"/>
        </w:rPr>
        <w:t>centers</w:t>
      </w:r>
      <w:proofErr w:type="spellEnd"/>
      <w:r w:rsidRPr="00404D46">
        <w:rPr>
          <w:rFonts w:asciiTheme="minorHAnsi" w:hAnsiTheme="minorHAnsi" w:cstheme="minorBidi"/>
        </w:rPr>
        <w:t xml:space="preserve"> like Mostar and Doboj to smaller, rural areas such as Stolac, </w:t>
      </w:r>
      <w:proofErr w:type="spellStart"/>
      <w:r w:rsidRPr="00404D46">
        <w:rPr>
          <w:rFonts w:asciiTheme="minorHAnsi" w:hAnsiTheme="minorHAnsi" w:cstheme="minorBidi"/>
        </w:rPr>
        <w:t>Prnjavor</w:t>
      </w:r>
      <w:proofErr w:type="spellEnd"/>
      <w:r w:rsidRPr="00404D46">
        <w:rPr>
          <w:rFonts w:asciiTheme="minorHAnsi" w:hAnsiTheme="minorHAnsi" w:cstheme="minorBidi"/>
        </w:rPr>
        <w:t xml:space="preserve">, and </w:t>
      </w:r>
      <w:proofErr w:type="spellStart"/>
      <w:r w:rsidRPr="00404D46">
        <w:rPr>
          <w:rFonts w:asciiTheme="minorHAnsi" w:hAnsiTheme="minorHAnsi" w:cstheme="minorBidi"/>
        </w:rPr>
        <w:t>Odžak</w:t>
      </w:r>
      <w:proofErr w:type="spellEnd"/>
      <w:r w:rsidRPr="00404D46">
        <w:rPr>
          <w:rFonts w:asciiTheme="minorHAnsi" w:hAnsiTheme="minorHAnsi" w:cstheme="minorBidi"/>
        </w:rPr>
        <w:t>. This diversity ensures that the project captures variations in social cohesion, governance challenges, and community engagement across BiH.</w:t>
      </w:r>
    </w:p>
    <w:p w14:paraId="0F247882" w14:textId="328A2B17" w:rsidR="00A86574" w:rsidRDefault="00404D46" w:rsidP="00661EB0">
      <w:pPr>
        <w:pStyle w:val="NoSpacing"/>
        <w:spacing w:before="120" w:after="120"/>
        <w:jc w:val="both"/>
        <w:rPr>
          <w:rFonts w:asciiTheme="minorHAnsi" w:hAnsiTheme="minorHAnsi" w:cstheme="minorBidi"/>
        </w:rPr>
      </w:pPr>
      <w:r w:rsidRPr="00404D46">
        <w:rPr>
          <w:rFonts w:asciiTheme="minorHAnsi" w:hAnsiTheme="minorHAnsi" w:cstheme="minorBidi"/>
        </w:rPr>
        <w:t>In 2025, the SCORE Project made significant strides in its efforts to improve social cohesion, resilience, and inclusive participation</w:t>
      </w:r>
      <w:r w:rsidR="00661EB0">
        <w:rPr>
          <w:rFonts w:asciiTheme="minorHAnsi" w:hAnsiTheme="minorHAnsi" w:cstheme="minorBidi"/>
        </w:rPr>
        <w:t xml:space="preserve"> at the local level</w:t>
      </w:r>
      <w:r w:rsidRPr="00404D46">
        <w:rPr>
          <w:rFonts w:asciiTheme="minorHAnsi" w:hAnsiTheme="minorHAnsi" w:cstheme="minorBidi"/>
        </w:rPr>
        <w:t xml:space="preserve">. A major milestone was the successful establishment of 10 LDGs across selected municipalities, which were formally institutionalized through mayoral decisions. These LDGs, consisting of representatives from youth and women’s organizations, local civil society organizations (CSOs), and municipal officials, were designed to serve as consultative bodies. </w:t>
      </w:r>
      <w:r w:rsidR="00F03180" w:rsidRPr="00F03180">
        <w:rPr>
          <w:rFonts w:asciiTheme="minorHAnsi" w:hAnsiTheme="minorHAnsi" w:cstheme="minorBidi"/>
        </w:rPr>
        <w:t>The total number of members across the 10 LDGs in the selected municipalities is 150.</w:t>
      </w:r>
      <w:r w:rsidR="002D42D5">
        <w:rPr>
          <w:rFonts w:asciiTheme="minorHAnsi" w:hAnsiTheme="minorHAnsi" w:cstheme="minorBidi"/>
        </w:rPr>
        <w:t xml:space="preserve"> </w:t>
      </w:r>
    </w:p>
    <w:p w14:paraId="05365414" w14:textId="5D14238D" w:rsidR="00404D46" w:rsidRPr="00404D46" w:rsidRDefault="00D17FD6" w:rsidP="00661EB0">
      <w:pPr>
        <w:pStyle w:val="NoSpacing"/>
        <w:spacing w:before="120" w:after="120"/>
        <w:jc w:val="both"/>
        <w:rPr>
          <w:rFonts w:asciiTheme="minorHAnsi" w:hAnsiTheme="minorHAnsi" w:cstheme="minorBidi"/>
        </w:rPr>
      </w:pPr>
      <w:r w:rsidRPr="009C09E5">
        <w:rPr>
          <w:rFonts w:asciiTheme="minorHAnsi" w:hAnsiTheme="minorHAnsi" w:cstheme="minorBidi"/>
        </w:rPr>
        <w:lastRenderedPageBreak/>
        <w:t xml:space="preserve">The </w:t>
      </w:r>
      <w:r w:rsidR="00404D46" w:rsidRPr="009C09E5">
        <w:rPr>
          <w:rFonts w:asciiTheme="minorHAnsi" w:hAnsiTheme="minorHAnsi" w:cstheme="minorBidi"/>
        </w:rPr>
        <w:t xml:space="preserve">role </w:t>
      </w:r>
      <w:r w:rsidRPr="009C09E5">
        <w:rPr>
          <w:rFonts w:asciiTheme="minorHAnsi" w:hAnsiTheme="minorHAnsi" w:cstheme="minorBidi"/>
        </w:rPr>
        <w:t xml:space="preserve">of </w:t>
      </w:r>
      <w:r w:rsidR="009C09E5" w:rsidRPr="009C09E5">
        <w:rPr>
          <w:rFonts w:asciiTheme="minorHAnsi" w:hAnsiTheme="minorHAnsi" w:cstheme="minorBidi"/>
        </w:rPr>
        <w:t>LDGs</w:t>
      </w:r>
      <w:r>
        <w:rPr>
          <w:rFonts w:asciiTheme="minorHAnsi" w:hAnsiTheme="minorHAnsi" w:cstheme="minorBidi"/>
        </w:rPr>
        <w:t xml:space="preserve"> </w:t>
      </w:r>
      <w:r w:rsidR="00404D46" w:rsidRPr="00404D46">
        <w:rPr>
          <w:rFonts w:asciiTheme="minorHAnsi" w:hAnsiTheme="minorHAnsi" w:cstheme="minorBidi"/>
        </w:rPr>
        <w:t xml:space="preserve">is to advise on local priorities, provide feedback on project activities, and contribute to the development of interventions that are closely aligned with community needs. </w:t>
      </w:r>
    </w:p>
    <w:p w14:paraId="08FD4F9A" w14:textId="1C64F9C5" w:rsidR="0047559C" w:rsidRPr="00404D46" w:rsidRDefault="00026FE7" w:rsidP="0047559C">
      <w:pPr>
        <w:pStyle w:val="NoSpacing"/>
        <w:spacing w:before="120" w:after="120"/>
        <w:jc w:val="both"/>
        <w:rPr>
          <w:rFonts w:asciiTheme="minorHAnsi" w:hAnsiTheme="minorHAnsi" w:cstheme="minorBidi"/>
        </w:rPr>
      </w:pPr>
      <w:r w:rsidRPr="00026FE7">
        <w:rPr>
          <w:rFonts w:asciiTheme="minorHAnsi" w:hAnsiTheme="minorHAnsi" w:cstheme="minorBidi"/>
        </w:rPr>
        <w:t>The Booster Survey</w:t>
      </w:r>
      <w:r w:rsidR="008A1741">
        <w:rPr>
          <w:rFonts w:asciiTheme="minorHAnsi" w:hAnsiTheme="minorHAnsi" w:cstheme="minorBidi"/>
        </w:rPr>
        <w:t>, as</w:t>
      </w:r>
      <w:r w:rsidRPr="00026FE7">
        <w:rPr>
          <w:rFonts w:asciiTheme="minorHAnsi" w:hAnsiTheme="minorHAnsi" w:cstheme="minorBidi"/>
        </w:rPr>
        <w:t xml:space="preserve"> an additional, targeted survey</w:t>
      </w:r>
      <w:r w:rsidR="00A02689">
        <w:rPr>
          <w:rFonts w:asciiTheme="minorHAnsi" w:hAnsiTheme="minorHAnsi" w:cstheme="minorBidi"/>
        </w:rPr>
        <w:t>,</w:t>
      </w:r>
      <w:r w:rsidRPr="00026FE7">
        <w:rPr>
          <w:rFonts w:asciiTheme="minorHAnsi" w:hAnsiTheme="minorHAnsi" w:cstheme="minorBidi"/>
        </w:rPr>
        <w:t xml:space="preserve"> </w:t>
      </w:r>
      <w:r w:rsidR="008A1741">
        <w:rPr>
          <w:rFonts w:asciiTheme="minorHAnsi" w:hAnsiTheme="minorHAnsi" w:cstheme="minorBidi"/>
        </w:rPr>
        <w:t xml:space="preserve">was </w:t>
      </w:r>
      <w:r w:rsidRPr="00026FE7">
        <w:rPr>
          <w:rFonts w:asciiTheme="minorHAnsi" w:hAnsiTheme="minorHAnsi" w:cstheme="minorBidi"/>
        </w:rPr>
        <w:t xml:space="preserve">conducted </w:t>
      </w:r>
      <w:r w:rsidR="0047559C">
        <w:rPr>
          <w:rFonts w:asciiTheme="minorHAnsi" w:hAnsiTheme="minorHAnsi" w:cstheme="minorBidi"/>
        </w:rPr>
        <w:t xml:space="preserve">in the </w:t>
      </w:r>
      <w:proofErr w:type="gramStart"/>
      <w:r w:rsidR="0047559C">
        <w:rPr>
          <w:rFonts w:asciiTheme="minorHAnsi" w:hAnsiTheme="minorHAnsi" w:cstheme="minorBidi"/>
        </w:rPr>
        <w:t>aforementioned</w:t>
      </w:r>
      <w:r w:rsidRPr="00026FE7">
        <w:rPr>
          <w:rFonts w:asciiTheme="minorHAnsi" w:hAnsiTheme="minorHAnsi" w:cstheme="minorBidi"/>
        </w:rPr>
        <w:t xml:space="preserve"> municipalities</w:t>
      </w:r>
      <w:proofErr w:type="gramEnd"/>
      <w:r w:rsidRPr="00026FE7">
        <w:rPr>
          <w:rFonts w:asciiTheme="minorHAnsi" w:hAnsiTheme="minorHAnsi" w:cstheme="minorBidi"/>
        </w:rPr>
        <w:t xml:space="preserve"> to provide deeper insights into local dynamics, particularly in areas with heightened social tensions or historical interethnic conflict.</w:t>
      </w:r>
      <w:r w:rsidR="0047559C" w:rsidRPr="0047559C">
        <w:rPr>
          <w:rFonts w:asciiTheme="minorHAnsi" w:hAnsiTheme="minorHAnsi" w:cstheme="minorBidi"/>
        </w:rPr>
        <w:t xml:space="preserve"> </w:t>
      </w:r>
      <w:r w:rsidR="0047559C">
        <w:rPr>
          <w:rFonts w:asciiTheme="minorHAnsi" w:hAnsiTheme="minorHAnsi" w:cstheme="minorBidi"/>
        </w:rPr>
        <w:t xml:space="preserve">It </w:t>
      </w:r>
      <w:r w:rsidR="0047559C" w:rsidRPr="00404D46">
        <w:rPr>
          <w:rFonts w:asciiTheme="minorHAnsi" w:hAnsiTheme="minorHAnsi" w:cstheme="minorBidi"/>
        </w:rPr>
        <w:t>particularly focus</w:t>
      </w:r>
      <w:r w:rsidR="0047559C">
        <w:rPr>
          <w:rFonts w:asciiTheme="minorHAnsi" w:hAnsiTheme="minorHAnsi" w:cstheme="minorBidi"/>
        </w:rPr>
        <w:t>ed</w:t>
      </w:r>
      <w:r w:rsidR="0047559C" w:rsidRPr="00404D46">
        <w:rPr>
          <w:rFonts w:asciiTheme="minorHAnsi" w:hAnsiTheme="minorHAnsi" w:cstheme="minorBidi"/>
        </w:rPr>
        <w:t xml:space="preserve"> on issues such as intergroup relations, youth engagement, and women’s participation. This data is critical for understanding local challenges and tailoring future interventions to address the most pressing needs. By oversampling in these municipalities, the project ensured enhanced statistical precision and the generation of actionable insights at the municipal level.</w:t>
      </w:r>
    </w:p>
    <w:p w14:paraId="46D93E84" w14:textId="2C421C2F" w:rsidR="004B6B90" w:rsidRDefault="0081220A" w:rsidP="009A7DD9">
      <w:pPr>
        <w:pStyle w:val="NoSpacing"/>
        <w:spacing w:before="120" w:after="120"/>
        <w:jc w:val="both"/>
        <w:rPr>
          <w:rFonts w:asciiTheme="minorHAnsi" w:hAnsiTheme="minorHAnsi" w:cstheme="minorBidi"/>
        </w:rPr>
      </w:pPr>
      <w:r>
        <w:rPr>
          <w:rFonts w:asciiTheme="minorHAnsi" w:hAnsiTheme="minorHAnsi" w:cstheme="minorBidi"/>
        </w:rPr>
        <w:t>T</w:t>
      </w:r>
      <w:r w:rsidR="00D916B2" w:rsidRPr="00D916B2">
        <w:rPr>
          <w:rFonts w:asciiTheme="minorHAnsi" w:hAnsiTheme="minorHAnsi" w:cstheme="minorBidi"/>
        </w:rPr>
        <w:t xml:space="preserve">he SCORE </w:t>
      </w:r>
      <w:r w:rsidR="00D916B2">
        <w:rPr>
          <w:rFonts w:asciiTheme="minorHAnsi" w:hAnsiTheme="minorHAnsi" w:cstheme="minorBidi"/>
        </w:rPr>
        <w:t>p</w:t>
      </w:r>
      <w:r w:rsidR="00D916B2" w:rsidRPr="00D916B2">
        <w:rPr>
          <w:rFonts w:asciiTheme="minorHAnsi" w:hAnsiTheme="minorHAnsi" w:cstheme="minorBidi"/>
        </w:rPr>
        <w:t>roject</w:t>
      </w:r>
      <w:r w:rsidR="00264F30">
        <w:rPr>
          <w:rFonts w:asciiTheme="minorHAnsi" w:hAnsiTheme="minorHAnsi" w:cstheme="minorBidi"/>
        </w:rPr>
        <w:t xml:space="preserve"> also</w:t>
      </w:r>
      <w:r w:rsidR="00D916B2" w:rsidRPr="00D916B2">
        <w:rPr>
          <w:rFonts w:asciiTheme="minorHAnsi" w:hAnsiTheme="minorHAnsi" w:cstheme="minorBidi"/>
        </w:rPr>
        <w:t xml:space="preserve"> </w:t>
      </w:r>
      <w:r w:rsidR="004B6B90">
        <w:rPr>
          <w:rFonts w:asciiTheme="minorHAnsi" w:hAnsiTheme="minorHAnsi" w:cstheme="minorBidi"/>
        </w:rPr>
        <w:t>aims</w:t>
      </w:r>
      <w:r w:rsidR="004B6B90">
        <w:rPr>
          <w:rFonts w:asciiTheme="minorHAnsi" w:hAnsiTheme="minorHAnsi" w:cstheme="minorBidi"/>
        </w:rPr>
        <w:t xml:space="preserve"> </w:t>
      </w:r>
      <w:r w:rsidR="00D916B2" w:rsidRPr="00D916B2">
        <w:rPr>
          <w:rFonts w:asciiTheme="minorHAnsi" w:hAnsiTheme="minorHAnsi" w:cstheme="minorBidi"/>
        </w:rPr>
        <w:t xml:space="preserve">to enhance the capacity of local authorities and CSOs to drive social cohesion efforts within their communities. To achieve this, the project is committed to transferring ownership of social cohesion initiatives by actively involving </w:t>
      </w:r>
      <w:r w:rsidR="004B6B90">
        <w:rPr>
          <w:rFonts w:asciiTheme="minorHAnsi" w:hAnsiTheme="minorHAnsi" w:cstheme="minorBidi"/>
        </w:rPr>
        <w:t>LG</w:t>
      </w:r>
      <w:r w:rsidR="00D916B2" w:rsidRPr="00D916B2">
        <w:rPr>
          <w:rFonts w:asciiTheme="minorHAnsi" w:hAnsiTheme="minorHAnsi" w:cstheme="minorBidi"/>
        </w:rPr>
        <w:t xml:space="preserve"> authorities in the selection and establishment of </w:t>
      </w:r>
      <w:proofErr w:type="gramStart"/>
      <w:r w:rsidR="00D916B2" w:rsidRPr="00D916B2">
        <w:rPr>
          <w:rFonts w:asciiTheme="minorHAnsi" w:hAnsiTheme="minorHAnsi" w:cstheme="minorBidi"/>
        </w:rPr>
        <w:t>LDGs, and</w:t>
      </w:r>
      <w:proofErr w:type="gramEnd"/>
      <w:r w:rsidR="00D916B2" w:rsidRPr="00D916B2">
        <w:rPr>
          <w:rFonts w:asciiTheme="minorHAnsi" w:hAnsiTheme="minorHAnsi" w:cstheme="minorBidi"/>
        </w:rPr>
        <w:t xml:space="preserve"> engaging local CSOs in the design and implementation of interventions. Local stakeholders played a pivotal role in shaping the direction of future activities and the allocation of project grant support for 2026. This collaborative approach not only strengthens community involvement but also ensures that the project's impact will be enduring and sustainable over the long term.</w:t>
      </w:r>
    </w:p>
    <w:p w14:paraId="6CF0D357" w14:textId="6B65FE9A" w:rsidR="003456C8" w:rsidRPr="003456C8" w:rsidRDefault="00404D46" w:rsidP="009A7DD9">
      <w:pPr>
        <w:pStyle w:val="NoSpacing"/>
        <w:spacing w:before="120" w:after="120"/>
        <w:jc w:val="both"/>
        <w:rPr>
          <w:rFonts w:asciiTheme="minorHAnsi" w:hAnsiTheme="minorHAnsi" w:cstheme="minorBidi"/>
        </w:rPr>
      </w:pPr>
      <w:r w:rsidRPr="00404D46">
        <w:rPr>
          <w:rFonts w:asciiTheme="minorHAnsi" w:hAnsiTheme="minorHAnsi" w:cstheme="minorBidi"/>
        </w:rPr>
        <w:t xml:space="preserve">As the SCORE Project moves into 2026, the data collected from the Booster SCORE Survey and the insights from </w:t>
      </w:r>
      <w:r w:rsidRPr="003520FD">
        <w:rPr>
          <w:rFonts w:asciiTheme="minorHAnsi" w:hAnsiTheme="minorHAnsi" w:cstheme="minorBidi"/>
        </w:rPr>
        <w:t>the LDGs</w:t>
      </w:r>
      <w:r w:rsidRPr="00404D46">
        <w:rPr>
          <w:rFonts w:asciiTheme="minorHAnsi" w:hAnsiTheme="minorHAnsi" w:cstheme="minorBidi"/>
        </w:rPr>
        <w:t xml:space="preserve"> will provide the foundation for targeted interventions in municipalities with the greatest need. The project will continue to work closely with local authorities, CSOs, and other stakeholders to ensure that interventions are tailored to the specific challenges of each community. This process will not only address the current issues facing these municipalities but will also help strengthen their ability to lead social cohesion efforts independently in the future, ensuring the sustainability of the project’s outcomes in Bosnia and Herzegovina.</w:t>
      </w:r>
    </w:p>
    <w:p w14:paraId="7636218A" w14:textId="52329171" w:rsidR="005B6422" w:rsidRPr="00753A51" w:rsidRDefault="005B6422" w:rsidP="005B6422">
      <w:pPr>
        <w:pStyle w:val="NoSpacing"/>
        <w:shd w:val="clear" w:color="auto" w:fill="8EAADB" w:themeFill="accent1" w:themeFillTint="99"/>
        <w:spacing w:before="120" w:after="120"/>
        <w:jc w:val="both"/>
        <w:rPr>
          <w:rFonts w:asciiTheme="minorHAnsi" w:hAnsiTheme="minorHAnsi" w:cstheme="minorHAnsi"/>
          <w:b/>
          <w:bCs/>
          <w:color w:val="000000"/>
          <w:szCs w:val="22"/>
        </w:rPr>
      </w:pPr>
      <w:r w:rsidRPr="00753A51">
        <w:rPr>
          <w:rFonts w:asciiTheme="minorHAnsi" w:hAnsiTheme="minorHAnsi" w:cstheme="minorBidi"/>
          <w:b/>
          <w:color w:val="000000" w:themeColor="text1"/>
        </w:rPr>
        <w:t>Out</w:t>
      </w:r>
      <w:r w:rsidR="00685CE0">
        <w:rPr>
          <w:rFonts w:asciiTheme="minorHAnsi" w:hAnsiTheme="minorHAnsi" w:cstheme="minorBidi"/>
          <w:b/>
          <w:color w:val="000000" w:themeColor="text1"/>
        </w:rPr>
        <w:t>put</w:t>
      </w:r>
      <w:r w:rsidRPr="00753A51">
        <w:rPr>
          <w:rFonts w:asciiTheme="minorHAnsi" w:hAnsiTheme="minorHAnsi" w:cstheme="minorBidi"/>
          <w:b/>
          <w:color w:val="000000" w:themeColor="text1"/>
        </w:rPr>
        <w:t xml:space="preserve"> 3: </w:t>
      </w:r>
      <w:r w:rsidR="00685CE0" w:rsidRPr="00685CE0">
        <w:rPr>
          <w:rFonts w:asciiTheme="minorHAnsi" w:hAnsiTheme="minorHAnsi" w:cstheme="minorBidi"/>
          <w:b/>
          <w:color w:val="000000" w:themeColor="text1"/>
        </w:rPr>
        <w:t xml:space="preserve">Enhanced local mechanisms and multi-stakeholder platforms in place across Bosnia and Herzegovina to foster intergroup trust, counter divisive narratives, and support inclusive participation of underrepresented groups, particularly women and youth in public decision-making.   </w:t>
      </w:r>
    </w:p>
    <w:p w14:paraId="7642CE5A" w14:textId="77777777" w:rsidR="00153478" w:rsidRDefault="00153478" w:rsidP="00754464">
      <w:pPr>
        <w:jc w:val="both"/>
        <w:rPr>
          <w:rFonts w:asciiTheme="minorHAnsi" w:hAnsiTheme="minorHAnsi" w:cstheme="minorBidi"/>
          <w:sz w:val="22"/>
          <w:szCs w:val="22"/>
        </w:rPr>
      </w:pPr>
      <w:r w:rsidRPr="00153478">
        <w:rPr>
          <w:rFonts w:asciiTheme="minorHAnsi" w:hAnsiTheme="minorHAnsi" w:cstheme="minorBidi"/>
          <w:sz w:val="22"/>
          <w:szCs w:val="22"/>
        </w:rPr>
        <w:t>Throughout 2025, the SCORE Project focused on identifying local CSOs, particularly those led by youth and women, and assessing their capacity development needs. This was achieved through field research, including a gender-sensitive mapping of key civil society actors in 10 targeted municipalities, which identified 58 grassroots organizations with experience in reconciliation, civic participation, and local development. Extensive consultations with local stakeholders helped pinpoint organizations capable of leading or collaborating on community-based initiatives for social cohesion. A capacity assessment was conducted alongside this mapping to evaluate the operational strengths of these organizations. The findings will guide the design of tailored capacity-building initiatives in 2026, empowering local CSOs to lead and implement impactful projects that foster social trust, resilience, and long-term cohesion in their communities.</w:t>
      </w:r>
    </w:p>
    <w:p w14:paraId="4D0B7E44" w14:textId="77777777" w:rsidR="00153478" w:rsidRPr="00153478" w:rsidRDefault="00153478" w:rsidP="00754464">
      <w:pPr>
        <w:jc w:val="both"/>
        <w:rPr>
          <w:rFonts w:asciiTheme="minorHAnsi" w:hAnsiTheme="minorHAnsi" w:cstheme="minorBidi"/>
          <w:sz w:val="22"/>
          <w:szCs w:val="22"/>
        </w:rPr>
      </w:pPr>
    </w:p>
    <w:p w14:paraId="7B0D75B7" w14:textId="6DC0B2D7" w:rsidR="006767ED" w:rsidRPr="006767ED" w:rsidRDefault="006767ED" w:rsidP="00754464">
      <w:pPr>
        <w:jc w:val="both"/>
        <w:rPr>
          <w:rFonts w:asciiTheme="minorHAnsi" w:hAnsiTheme="minorHAnsi" w:cstheme="minorBidi"/>
          <w:sz w:val="22"/>
          <w:szCs w:val="22"/>
        </w:rPr>
      </w:pPr>
      <w:r w:rsidRPr="006767ED">
        <w:rPr>
          <w:rFonts w:asciiTheme="minorHAnsi" w:hAnsiTheme="minorHAnsi" w:cstheme="minorBidi"/>
          <w:sz w:val="22"/>
          <w:szCs w:val="22"/>
        </w:rPr>
        <w:t xml:space="preserve">A flexible grant mechanism using the Low-Value Grant Agreement (LVGA) modality </w:t>
      </w:r>
      <w:r w:rsidR="002B4389">
        <w:rPr>
          <w:rFonts w:asciiTheme="minorHAnsi" w:hAnsiTheme="minorHAnsi" w:cstheme="minorBidi"/>
          <w:sz w:val="22"/>
          <w:szCs w:val="22"/>
        </w:rPr>
        <w:t xml:space="preserve">is </w:t>
      </w:r>
      <w:r w:rsidRPr="006767ED">
        <w:rPr>
          <w:rFonts w:asciiTheme="minorHAnsi" w:hAnsiTheme="minorHAnsi" w:cstheme="minorBidi"/>
          <w:sz w:val="22"/>
          <w:szCs w:val="22"/>
        </w:rPr>
        <w:t xml:space="preserve">planned to </w:t>
      </w:r>
      <w:r w:rsidR="002B4389">
        <w:rPr>
          <w:rFonts w:asciiTheme="minorHAnsi" w:hAnsiTheme="minorHAnsi" w:cstheme="minorBidi"/>
          <w:sz w:val="22"/>
          <w:szCs w:val="22"/>
        </w:rPr>
        <w:t xml:space="preserve">be launched in 2026 to </w:t>
      </w:r>
      <w:r w:rsidRPr="006767ED">
        <w:rPr>
          <w:rFonts w:asciiTheme="minorHAnsi" w:hAnsiTheme="minorHAnsi" w:cstheme="minorBidi"/>
          <w:sz w:val="22"/>
          <w:szCs w:val="22"/>
        </w:rPr>
        <w:t xml:space="preserve">support community-driven initiatives. This mechanism </w:t>
      </w:r>
      <w:r w:rsidR="002B4389">
        <w:rPr>
          <w:rFonts w:asciiTheme="minorHAnsi" w:hAnsiTheme="minorHAnsi" w:cstheme="minorBidi"/>
          <w:sz w:val="22"/>
          <w:szCs w:val="22"/>
        </w:rPr>
        <w:t xml:space="preserve">will </w:t>
      </w:r>
      <w:r w:rsidRPr="006767ED">
        <w:rPr>
          <w:rFonts w:asciiTheme="minorHAnsi" w:hAnsiTheme="minorHAnsi" w:cstheme="minorBidi"/>
          <w:sz w:val="22"/>
          <w:szCs w:val="22"/>
        </w:rPr>
        <w:t xml:space="preserve">allow for quick and flexible </w:t>
      </w:r>
      <w:r w:rsidR="002B4389">
        <w:rPr>
          <w:rFonts w:asciiTheme="minorHAnsi" w:hAnsiTheme="minorHAnsi" w:cstheme="minorBidi"/>
          <w:sz w:val="22"/>
          <w:szCs w:val="22"/>
        </w:rPr>
        <w:t xml:space="preserve">support </w:t>
      </w:r>
      <w:r w:rsidR="000E42DC">
        <w:rPr>
          <w:rFonts w:asciiTheme="minorHAnsi" w:hAnsiTheme="minorHAnsi" w:cstheme="minorBidi"/>
          <w:sz w:val="22"/>
          <w:szCs w:val="22"/>
        </w:rPr>
        <w:t xml:space="preserve">to </w:t>
      </w:r>
      <w:r w:rsidRPr="006767ED">
        <w:rPr>
          <w:rFonts w:asciiTheme="minorHAnsi" w:hAnsiTheme="minorHAnsi" w:cstheme="minorBidi"/>
          <w:sz w:val="22"/>
          <w:szCs w:val="22"/>
        </w:rPr>
        <w:t>grassroots actions that foster trust and cooperation between communities. Th</w:t>
      </w:r>
      <w:r w:rsidR="000E42DC">
        <w:rPr>
          <w:rFonts w:asciiTheme="minorHAnsi" w:hAnsiTheme="minorHAnsi" w:cstheme="minorBidi"/>
          <w:sz w:val="22"/>
          <w:szCs w:val="22"/>
        </w:rPr>
        <w:t>is sub-</w:t>
      </w:r>
      <w:r w:rsidRPr="006767ED">
        <w:rPr>
          <w:rFonts w:asciiTheme="minorHAnsi" w:hAnsiTheme="minorHAnsi" w:cstheme="minorBidi"/>
          <w:sz w:val="22"/>
          <w:szCs w:val="22"/>
        </w:rPr>
        <w:t>grant</w:t>
      </w:r>
      <w:r w:rsidR="000E42DC">
        <w:rPr>
          <w:rFonts w:asciiTheme="minorHAnsi" w:hAnsiTheme="minorHAnsi" w:cstheme="minorBidi"/>
          <w:sz w:val="22"/>
          <w:szCs w:val="22"/>
        </w:rPr>
        <w:t xml:space="preserve">ing mechanism </w:t>
      </w:r>
      <w:r w:rsidRPr="006767ED">
        <w:rPr>
          <w:rFonts w:asciiTheme="minorHAnsi" w:hAnsiTheme="minorHAnsi" w:cstheme="minorBidi"/>
          <w:sz w:val="22"/>
          <w:szCs w:val="22"/>
        </w:rPr>
        <w:t xml:space="preserve">will be used to </w:t>
      </w:r>
      <w:r w:rsidR="000E42DC">
        <w:rPr>
          <w:rFonts w:asciiTheme="minorHAnsi" w:hAnsiTheme="minorHAnsi" w:cstheme="minorBidi"/>
          <w:sz w:val="22"/>
          <w:szCs w:val="22"/>
        </w:rPr>
        <w:t>support</w:t>
      </w:r>
      <w:r w:rsidR="000E42DC" w:rsidRPr="006767ED">
        <w:rPr>
          <w:rFonts w:asciiTheme="minorHAnsi" w:hAnsiTheme="minorHAnsi" w:cstheme="minorBidi"/>
          <w:sz w:val="22"/>
          <w:szCs w:val="22"/>
        </w:rPr>
        <w:t xml:space="preserve"> </w:t>
      </w:r>
      <w:r w:rsidRPr="006767ED">
        <w:rPr>
          <w:rFonts w:asciiTheme="minorHAnsi" w:hAnsiTheme="minorHAnsi" w:cstheme="minorBidi"/>
          <w:sz w:val="22"/>
          <w:szCs w:val="22"/>
        </w:rPr>
        <w:t xml:space="preserve">activities such as youth dialogues, cultural events, and small-scale </w:t>
      </w:r>
      <w:r w:rsidR="00CB68E1">
        <w:rPr>
          <w:rFonts w:asciiTheme="minorHAnsi" w:hAnsiTheme="minorHAnsi" w:cstheme="minorBidi"/>
          <w:sz w:val="22"/>
          <w:szCs w:val="22"/>
        </w:rPr>
        <w:t>com</w:t>
      </w:r>
      <w:r w:rsidR="00D257C2">
        <w:rPr>
          <w:rFonts w:asciiTheme="minorHAnsi" w:hAnsiTheme="minorHAnsi" w:cstheme="minorBidi"/>
          <w:sz w:val="22"/>
          <w:szCs w:val="22"/>
        </w:rPr>
        <w:t>m</w:t>
      </w:r>
      <w:r w:rsidR="00CB68E1">
        <w:rPr>
          <w:rFonts w:asciiTheme="minorHAnsi" w:hAnsiTheme="minorHAnsi" w:cstheme="minorBidi"/>
          <w:sz w:val="22"/>
          <w:szCs w:val="22"/>
        </w:rPr>
        <w:t>unity</w:t>
      </w:r>
      <w:r w:rsidR="00CB68E1" w:rsidRPr="006767ED">
        <w:rPr>
          <w:rFonts w:asciiTheme="minorHAnsi" w:hAnsiTheme="minorHAnsi" w:cstheme="minorBidi"/>
          <w:sz w:val="22"/>
          <w:szCs w:val="22"/>
        </w:rPr>
        <w:t xml:space="preserve"> </w:t>
      </w:r>
      <w:r w:rsidRPr="006767ED">
        <w:rPr>
          <w:rFonts w:asciiTheme="minorHAnsi" w:hAnsiTheme="minorHAnsi" w:cstheme="minorBidi"/>
          <w:sz w:val="22"/>
          <w:szCs w:val="22"/>
        </w:rPr>
        <w:t xml:space="preserve">projects that encourage cross-community engagement. </w:t>
      </w:r>
      <w:r w:rsidR="002D3D27" w:rsidRPr="002D3D27">
        <w:rPr>
          <w:rFonts w:asciiTheme="minorHAnsi" w:hAnsiTheme="minorHAnsi" w:cstheme="minorBidi"/>
          <w:sz w:val="22"/>
          <w:szCs w:val="22"/>
        </w:rPr>
        <w:t>This work is closely aligned with complementary initiatives, including those funded by the UN Peacebuilding Fund (PBF), fostering strong synergies and mutual reinforcement between projects. By actively collaborating with these efforts, the SCORE Project ensures that resources and expertise are maximized, particularly in the four common L</w:t>
      </w:r>
      <w:r w:rsidR="002D3D27">
        <w:rPr>
          <w:rFonts w:asciiTheme="minorHAnsi" w:hAnsiTheme="minorHAnsi" w:cstheme="minorBidi"/>
          <w:sz w:val="22"/>
          <w:szCs w:val="22"/>
        </w:rPr>
        <w:t>Gs</w:t>
      </w:r>
      <w:r w:rsidR="002D3D27" w:rsidRPr="002D3D27">
        <w:rPr>
          <w:rFonts w:asciiTheme="minorHAnsi" w:hAnsiTheme="minorHAnsi" w:cstheme="minorBidi"/>
          <w:sz w:val="22"/>
          <w:szCs w:val="22"/>
        </w:rPr>
        <w:t>, where targeted initiatives are mutually supportive. This approach not only enhances the overall impact of the projects but also strengthens the collective capacity to drive social cohesion and reconciliation, creating a more integrated and cohesive framework for sustainable development across the region.</w:t>
      </w:r>
    </w:p>
    <w:p w14:paraId="4E69EE48" w14:textId="77777777" w:rsidR="006767ED" w:rsidRPr="006767ED" w:rsidRDefault="006767ED" w:rsidP="00754464">
      <w:pPr>
        <w:jc w:val="both"/>
        <w:rPr>
          <w:rFonts w:asciiTheme="minorHAnsi" w:hAnsiTheme="minorHAnsi" w:cstheme="minorBidi"/>
          <w:sz w:val="22"/>
          <w:szCs w:val="22"/>
        </w:rPr>
      </w:pPr>
    </w:p>
    <w:p w14:paraId="50E72349" w14:textId="36A9993C" w:rsidR="006767ED" w:rsidRDefault="006767ED" w:rsidP="00754464">
      <w:pPr>
        <w:jc w:val="both"/>
        <w:rPr>
          <w:rFonts w:asciiTheme="minorHAnsi" w:hAnsiTheme="minorHAnsi" w:cstheme="minorBidi"/>
          <w:sz w:val="22"/>
          <w:szCs w:val="22"/>
        </w:rPr>
      </w:pPr>
      <w:r w:rsidRPr="006767ED">
        <w:rPr>
          <w:rFonts w:asciiTheme="minorHAnsi" w:hAnsiTheme="minorHAnsi" w:cstheme="minorBidi"/>
          <w:sz w:val="22"/>
          <w:szCs w:val="22"/>
        </w:rPr>
        <w:t xml:space="preserve">Further, the project has started preparations for amplifying positive narratives in the public sphere by curating and disseminating stories that highlight interethnic cooperation and youth and women’s leadership in </w:t>
      </w:r>
      <w:r w:rsidR="00127CFD">
        <w:rPr>
          <w:rFonts w:asciiTheme="minorHAnsi" w:hAnsiTheme="minorHAnsi" w:cstheme="minorBidi"/>
          <w:sz w:val="22"/>
          <w:szCs w:val="22"/>
        </w:rPr>
        <w:t>strengthening social cohesion</w:t>
      </w:r>
      <w:r w:rsidRPr="006767ED">
        <w:rPr>
          <w:rFonts w:asciiTheme="minorHAnsi" w:hAnsiTheme="minorHAnsi" w:cstheme="minorBidi"/>
          <w:sz w:val="22"/>
          <w:szCs w:val="22"/>
        </w:rPr>
        <w:t xml:space="preserve">. Through partnerships with civil society groups, youth networks, and media outlets, these stories will be shared via both traditional and digital platforms, aiming to reach marginalized </w:t>
      </w:r>
      <w:r w:rsidRPr="006767ED">
        <w:rPr>
          <w:rFonts w:asciiTheme="minorHAnsi" w:hAnsiTheme="minorHAnsi" w:cstheme="minorBidi"/>
          <w:sz w:val="22"/>
          <w:szCs w:val="22"/>
        </w:rPr>
        <w:lastRenderedPageBreak/>
        <w:t>communities and counter divisive narratives. This effort will empower local actors to shape the narrative, spotlighting examples of coexistence and collaboration that inspire positive change.</w:t>
      </w:r>
    </w:p>
    <w:p w14:paraId="153B8A7A" w14:textId="77777777" w:rsidR="00466165" w:rsidRDefault="00466165" w:rsidP="00754464">
      <w:pPr>
        <w:jc w:val="both"/>
        <w:rPr>
          <w:rFonts w:asciiTheme="minorHAnsi" w:hAnsiTheme="minorHAnsi" w:cstheme="minorBidi"/>
          <w:sz w:val="22"/>
          <w:szCs w:val="22"/>
        </w:rPr>
      </w:pPr>
    </w:p>
    <w:p w14:paraId="1F6A33E9" w14:textId="5F823B51" w:rsidR="005B6422" w:rsidRPr="00753A51" w:rsidRDefault="005B6422" w:rsidP="005B6422">
      <w:pPr>
        <w:pStyle w:val="Heading1"/>
        <w:shd w:val="clear" w:color="auto" w:fill="44546A" w:themeFill="text2"/>
        <w:spacing w:before="120" w:after="120"/>
        <w:rPr>
          <w:rFonts w:asciiTheme="minorHAnsi" w:hAnsiTheme="minorHAnsi" w:cstheme="minorHAnsi"/>
          <w:caps/>
          <w:color w:val="FFFFFF" w:themeColor="background1"/>
          <w:sz w:val="22"/>
          <w:szCs w:val="22"/>
          <w:lang w:val="en-GB"/>
        </w:rPr>
      </w:pPr>
      <w:bookmarkStart w:id="31" w:name="_Toc100840993"/>
      <w:bookmarkStart w:id="32" w:name="_Toc225409789"/>
      <w:r w:rsidRPr="00753A51">
        <w:rPr>
          <w:rFonts w:asciiTheme="minorHAnsi" w:hAnsiTheme="minorHAnsi" w:cstheme="minorHAnsi"/>
          <w:caps/>
          <w:color w:val="FFFFFF" w:themeColor="background1"/>
          <w:sz w:val="22"/>
          <w:szCs w:val="22"/>
          <w:lang w:val="en-GB"/>
        </w:rPr>
        <w:t xml:space="preserve">CHAPTER </w:t>
      </w:r>
      <w:r w:rsidR="00F72CD4">
        <w:rPr>
          <w:rFonts w:asciiTheme="minorHAnsi" w:hAnsiTheme="minorHAnsi" w:cstheme="minorHAnsi"/>
          <w:caps/>
          <w:color w:val="FFFFFF" w:themeColor="background1"/>
          <w:sz w:val="22"/>
          <w:szCs w:val="22"/>
          <w:lang w:val="en-GB"/>
        </w:rPr>
        <w:t>4</w:t>
      </w:r>
      <w:r w:rsidRPr="00753A51">
        <w:rPr>
          <w:rFonts w:asciiTheme="minorHAnsi" w:hAnsiTheme="minorHAnsi" w:cstheme="minorHAnsi"/>
          <w:caps/>
          <w:color w:val="FFFFFF" w:themeColor="background1"/>
          <w:sz w:val="22"/>
          <w:szCs w:val="22"/>
          <w:lang w:val="en-GB"/>
        </w:rPr>
        <w:t xml:space="preserve"> – TRANSVERSAL THEMES: Social inclusion and gender</w:t>
      </w:r>
      <w:bookmarkEnd w:id="31"/>
      <w:r w:rsidR="0006401D">
        <w:rPr>
          <w:rFonts w:asciiTheme="minorHAnsi" w:hAnsiTheme="minorHAnsi" w:cstheme="minorHAnsi"/>
          <w:caps/>
          <w:color w:val="FFFFFF" w:themeColor="background1"/>
          <w:sz w:val="22"/>
          <w:szCs w:val="22"/>
          <w:lang w:val="en-GB"/>
        </w:rPr>
        <w:t xml:space="preserve"> EQUALITY</w:t>
      </w:r>
      <w:bookmarkEnd w:id="32"/>
    </w:p>
    <w:p w14:paraId="0EEA97DA" w14:textId="1CC12F8E" w:rsidR="0016121E" w:rsidRPr="0016121E" w:rsidRDefault="0016121E" w:rsidP="0016121E">
      <w:pPr>
        <w:pStyle w:val="NoSpacing"/>
        <w:spacing w:before="120" w:after="120"/>
        <w:jc w:val="both"/>
        <w:rPr>
          <w:rStyle w:val="normaltextrun"/>
          <w:rFonts w:ascii="Calibri" w:hAnsi="Calibri" w:cs="Calibri"/>
          <w:color w:val="000000"/>
          <w:szCs w:val="22"/>
          <w:shd w:val="clear" w:color="auto" w:fill="FFFFFF"/>
        </w:rPr>
      </w:pPr>
      <w:r w:rsidRPr="0016121E">
        <w:rPr>
          <w:rStyle w:val="normaltextrun"/>
          <w:rFonts w:ascii="Calibri" w:hAnsi="Calibri" w:cs="Calibri"/>
          <w:color w:val="000000"/>
          <w:szCs w:val="22"/>
          <w:shd w:val="clear" w:color="auto" w:fill="FFFFFF"/>
        </w:rPr>
        <w:t xml:space="preserve">Social inclusion has been at the core of the SCORE project since its launch in the summer of 2025. Although the scope of activities was limited in the initial year, the project has made significant strides in fostering communities where all individuals, regardless of their background or identity, feel valued, safe, and empowered. Throughout 2025, the project focused on creating environments of trust, respect, and belonging, particularly through the establishment of 10 </w:t>
      </w:r>
      <w:r w:rsidRPr="00384172">
        <w:rPr>
          <w:rStyle w:val="normaltextrun"/>
          <w:rFonts w:ascii="Calibri" w:hAnsi="Calibri" w:cs="Calibri"/>
          <w:color w:val="000000"/>
          <w:szCs w:val="22"/>
          <w:shd w:val="clear" w:color="auto" w:fill="FFFFFF"/>
        </w:rPr>
        <w:t>LDGs in 10 partner</w:t>
      </w:r>
      <w:r w:rsidRPr="0016121E">
        <w:rPr>
          <w:rStyle w:val="normaltextrun"/>
          <w:rFonts w:ascii="Calibri" w:hAnsi="Calibri" w:cs="Calibri"/>
          <w:color w:val="000000"/>
          <w:szCs w:val="22"/>
          <w:shd w:val="clear" w:color="auto" w:fill="FFFFFF"/>
        </w:rPr>
        <w:t xml:space="preserve"> LG</w:t>
      </w:r>
      <w:r>
        <w:rPr>
          <w:rStyle w:val="normaltextrun"/>
          <w:rFonts w:ascii="Calibri" w:hAnsi="Calibri" w:cs="Calibri"/>
          <w:color w:val="000000"/>
          <w:szCs w:val="22"/>
          <w:shd w:val="clear" w:color="auto" w:fill="FFFFFF"/>
        </w:rPr>
        <w:t>s</w:t>
      </w:r>
      <w:r w:rsidRPr="0016121E">
        <w:rPr>
          <w:rStyle w:val="normaltextrun"/>
          <w:rFonts w:ascii="Calibri" w:hAnsi="Calibri" w:cs="Calibri"/>
          <w:color w:val="000000"/>
          <w:szCs w:val="22"/>
          <w:shd w:val="clear" w:color="auto" w:fill="FFFFFF"/>
        </w:rPr>
        <w:t>. These groups have provided marginalized communities with a platform to share their concerns, encourage active participation, and lay the foundation for stronger community cohesion.</w:t>
      </w:r>
    </w:p>
    <w:p w14:paraId="6406DCEF" w14:textId="2F8D515C" w:rsidR="002E59A0" w:rsidRDefault="0016121E" w:rsidP="000917C8">
      <w:pPr>
        <w:pStyle w:val="NoSpacing"/>
        <w:spacing w:before="120" w:after="120"/>
        <w:jc w:val="both"/>
        <w:rPr>
          <w:rStyle w:val="normaltextrun"/>
          <w:rFonts w:ascii="Calibri" w:hAnsi="Calibri" w:cs="Calibri"/>
          <w:color w:val="000000"/>
          <w:szCs w:val="22"/>
          <w:shd w:val="clear" w:color="auto" w:fill="FFFFFF"/>
        </w:rPr>
      </w:pPr>
      <w:r w:rsidRPr="000917C8">
        <w:rPr>
          <w:rStyle w:val="normaltextrun"/>
          <w:rFonts w:ascii="Calibri" w:hAnsi="Calibri" w:cs="Calibri"/>
          <w:color w:val="000000"/>
          <w:szCs w:val="22"/>
          <w:shd w:val="clear" w:color="auto" w:fill="FFFFFF"/>
        </w:rPr>
        <w:t xml:space="preserve">Although the project </w:t>
      </w:r>
      <w:r w:rsidR="00EC6C83">
        <w:rPr>
          <w:rStyle w:val="normaltextrun"/>
          <w:rFonts w:ascii="Calibri" w:hAnsi="Calibri" w:cs="Calibri"/>
          <w:color w:val="000000"/>
          <w:szCs w:val="22"/>
          <w:shd w:val="clear" w:color="auto" w:fill="FFFFFF"/>
        </w:rPr>
        <w:t xml:space="preserve">is </w:t>
      </w:r>
      <w:r w:rsidRPr="000917C8">
        <w:rPr>
          <w:rStyle w:val="normaltextrun"/>
          <w:rFonts w:ascii="Calibri" w:hAnsi="Calibri" w:cs="Calibri"/>
          <w:color w:val="000000"/>
          <w:szCs w:val="22"/>
          <w:shd w:val="clear" w:color="auto" w:fill="FFFFFF"/>
        </w:rPr>
        <w:t>in its early stages, efforts to engage socially excluded groups in local decision-making processes were initiated. These early activities have begun to promote more inclusive representation, with local governments expressing a commitment to addressing the needs of these groups in future initiatives. Gender equality remained a central priority, with initial actions aimed at ensuring women's participation and empowering them in the community. This ongoing dedication to gender equality has set the foundation for more comprehensive efforts, contributing to the creation of more resilient, inclusive communities as the project progresses</w:t>
      </w:r>
      <w:r w:rsidR="002E59A0" w:rsidRPr="000917C8">
        <w:rPr>
          <w:rStyle w:val="normaltextrun"/>
          <w:rFonts w:ascii="Calibri" w:hAnsi="Calibri" w:cs="Calibri"/>
          <w:color w:val="000000"/>
          <w:szCs w:val="22"/>
          <w:shd w:val="clear" w:color="auto" w:fill="FFFFFF"/>
        </w:rPr>
        <w:t>.</w:t>
      </w:r>
    </w:p>
    <w:p w14:paraId="795F1330" w14:textId="77777777" w:rsidR="00554C22" w:rsidRPr="000917C8" w:rsidRDefault="00554C22" w:rsidP="000917C8">
      <w:pPr>
        <w:pStyle w:val="NoSpacing"/>
        <w:spacing w:before="120" w:after="120"/>
        <w:jc w:val="both"/>
        <w:rPr>
          <w:rStyle w:val="normaltextrun"/>
          <w:rFonts w:ascii="Calibri" w:hAnsi="Calibri" w:cs="Calibri"/>
          <w:color w:val="000000"/>
          <w:szCs w:val="22"/>
          <w:shd w:val="clear" w:color="auto" w:fill="FFFFFF"/>
        </w:rPr>
      </w:pPr>
    </w:p>
    <w:p w14:paraId="17CF5123" w14:textId="3192F767" w:rsidR="00334DED" w:rsidRPr="00753A51" w:rsidRDefault="00334DED" w:rsidP="00A80390">
      <w:pPr>
        <w:pStyle w:val="Heading1"/>
        <w:shd w:val="clear" w:color="auto" w:fill="44546A" w:themeFill="text2"/>
        <w:spacing w:before="120" w:after="120"/>
        <w:jc w:val="both"/>
        <w:rPr>
          <w:rFonts w:asciiTheme="minorHAnsi" w:hAnsiTheme="minorHAnsi" w:cstheme="minorHAnsi"/>
          <w:caps/>
          <w:color w:val="FFFFFF" w:themeColor="background1"/>
          <w:sz w:val="22"/>
          <w:szCs w:val="22"/>
          <w:lang w:val="en-GB"/>
        </w:rPr>
      </w:pPr>
      <w:bookmarkStart w:id="33" w:name="_Toc225409790"/>
      <w:r w:rsidRPr="00753A51">
        <w:rPr>
          <w:rFonts w:asciiTheme="minorHAnsi" w:hAnsiTheme="minorHAnsi" w:cstheme="minorHAnsi"/>
          <w:caps/>
          <w:color w:val="FFFFFF" w:themeColor="background1"/>
          <w:sz w:val="22"/>
          <w:szCs w:val="22"/>
          <w:lang w:val="en-GB"/>
        </w:rPr>
        <w:t xml:space="preserve">CHAPTER </w:t>
      </w:r>
      <w:r w:rsidR="00F72CD4">
        <w:rPr>
          <w:rFonts w:asciiTheme="minorHAnsi" w:hAnsiTheme="minorHAnsi" w:cstheme="minorHAnsi"/>
          <w:caps/>
          <w:color w:val="FFFFFF" w:themeColor="background1"/>
          <w:sz w:val="22"/>
          <w:szCs w:val="22"/>
          <w:lang w:val="en-GB"/>
        </w:rPr>
        <w:t>5</w:t>
      </w:r>
      <w:r w:rsidRPr="00753A51">
        <w:rPr>
          <w:rFonts w:asciiTheme="minorHAnsi" w:hAnsiTheme="minorHAnsi" w:cstheme="minorHAnsi"/>
          <w:caps/>
          <w:color w:val="FFFFFF" w:themeColor="background1"/>
          <w:sz w:val="22"/>
          <w:szCs w:val="22"/>
          <w:lang w:val="en-GB"/>
        </w:rPr>
        <w:t xml:space="preserve"> – FINANCES</w:t>
      </w:r>
      <w:r w:rsidR="00F24C9B">
        <w:rPr>
          <w:rFonts w:asciiTheme="minorHAnsi" w:hAnsiTheme="minorHAnsi" w:cstheme="minorHAnsi"/>
          <w:caps/>
          <w:color w:val="FFFFFF" w:themeColor="background1"/>
          <w:sz w:val="22"/>
          <w:szCs w:val="22"/>
          <w:lang w:val="en-GB"/>
        </w:rPr>
        <w:t>,</w:t>
      </w:r>
      <w:r w:rsidRPr="00753A51">
        <w:rPr>
          <w:rFonts w:asciiTheme="minorHAnsi" w:hAnsiTheme="minorHAnsi" w:cstheme="minorHAnsi"/>
          <w:caps/>
          <w:color w:val="FFFFFF" w:themeColor="background1"/>
          <w:sz w:val="22"/>
          <w:szCs w:val="22"/>
          <w:lang w:val="en-GB"/>
        </w:rPr>
        <w:t xml:space="preserve"> MANAGEMENT</w:t>
      </w:r>
      <w:r w:rsidR="008D5441">
        <w:rPr>
          <w:rFonts w:asciiTheme="minorHAnsi" w:hAnsiTheme="minorHAnsi" w:cstheme="minorHAnsi"/>
          <w:caps/>
          <w:color w:val="FFFFFF" w:themeColor="background1"/>
          <w:sz w:val="22"/>
          <w:szCs w:val="22"/>
          <w:lang w:val="en-GB"/>
        </w:rPr>
        <w:t>,</w:t>
      </w:r>
      <w:r w:rsidR="00F24C9B">
        <w:rPr>
          <w:rFonts w:asciiTheme="minorHAnsi" w:hAnsiTheme="minorHAnsi" w:cstheme="minorHAnsi"/>
          <w:caps/>
          <w:color w:val="FFFFFF" w:themeColor="background1"/>
          <w:sz w:val="22"/>
          <w:szCs w:val="22"/>
          <w:lang w:val="en-GB"/>
        </w:rPr>
        <w:t xml:space="preserve"> AND COMMUNICATIONS</w:t>
      </w:r>
      <w:bookmarkEnd w:id="33"/>
    </w:p>
    <w:p w14:paraId="49D7565E" w14:textId="4FFD4FB0" w:rsidR="00A50807" w:rsidRDefault="00B9404C" w:rsidP="00DD119C">
      <w:pPr>
        <w:spacing w:before="120" w:after="120"/>
        <w:jc w:val="both"/>
        <w:rPr>
          <w:rFonts w:ascii="Calibri" w:eastAsiaTheme="minorEastAsia" w:hAnsi="Calibri" w:cs="Calibri"/>
          <w:color w:val="000000"/>
          <w:sz w:val="22"/>
          <w:szCs w:val="22"/>
          <w:shd w:val="clear" w:color="auto" w:fill="FFFFFF"/>
        </w:rPr>
      </w:pPr>
      <w:r w:rsidRPr="00B9404C">
        <w:rPr>
          <w:rFonts w:ascii="Calibri" w:eastAsiaTheme="minorEastAsia" w:hAnsi="Calibri" w:cs="Calibri"/>
          <w:color w:val="000000"/>
          <w:sz w:val="22"/>
          <w:szCs w:val="22"/>
          <w:shd w:val="clear" w:color="auto" w:fill="FFFFFF"/>
        </w:rPr>
        <w:t xml:space="preserve">In the first year of the SCORE Project (2025), initial implementation was focused on setting the foundation for the research framework and identifying key local stakeholders. </w:t>
      </w:r>
      <w:r>
        <w:rPr>
          <w:rFonts w:ascii="Calibri" w:eastAsiaTheme="minorEastAsia" w:hAnsi="Calibri" w:cs="Calibri"/>
          <w:color w:val="000000"/>
          <w:sz w:val="22"/>
          <w:szCs w:val="22"/>
          <w:shd w:val="clear" w:color="auto" w:fill="FFFFFF"/>
        </w:rPr>
        <w:t>T</w:t>
      </w:r>
      <w:r w:rsidRPr="00B9404C">
        <w:rPr>
          <w:rFonts w:ascii="Calibri" w:eastAsiaTheme="minorEastAsia" w:hAnsi="Calibri" w:cs="Calibri"/>
          <w:color w:val="000000"/>
          <w:sz w:val="22"/>
          <w:szCs w:val="22"/>
          <w:shd w:val="clear" w:color="auto" w:fill="FFFFFF"/>
        </w:rPr>
        <w:t xml:space="preserve">he project’s activities </w:t>
      </w:r>
      <w:r w:rsidR="003B4829">
        <w:rPr>
          <w:rFonts w:ascii="Calibri" w:eastAsiaTheme="minorEastAsia" w:hAnsi="Calibri" w:cs="Calibri"/>
          <w:color w:val="000000"/>
          <w:sz w:val="22"/>
          <w:szCs w:val="22"/>
          <w:shd w:val="clear" w:color="auto" w:fill="FFFFFF"/>
        </w:rPr>
        <w:t xml:space="preserve">are </w:t>
      </w:r>
      <w:r w:rsidR="00986A65">
        <w:rPr>
          <w:rFonts w:ascii="Calibri" w:eastAsiaTheme="minorEastAsia" w:hAnsi="Calibri" w:cs="Calibri"/>
          <w:color w:val="000000"/>
          <w:sz w:val="22"/>
          <w:szCs w:val="22"/>
          <w:shd w:val="clear" w:color="auto" w:fill="FFFFFF"/>
        </w:rPr>
        <w:t>fully financed by</w:t>
      </w:r>
      <w:r w:rsidRPr="00B9404C">
        <w:rPr>
          <w:rFonts w:ascii="Calibri" w:eastAsiaTheme="minorEastAsia" w:hAnsi="Calibri" w:cs="Calibri"/>
          <w:color w:val="000000"/>
          <w:sz w:val="22"/>
          <w:szCs w:val="22"/>
          <w:shd w:val="clear" w:color="auto" w:fill="FFFFFF"/>
        </w:rPr>
        <w:t xml:space="preserve"> the grant from the Danish Ministry of Foreign Affairs (MFA/EUNABO)</w:t>
      </w:r>
      <w:r w:rsidR="00AD460A">
        <w:rPr>
          <w:rFonts w:ascii="Calibri" w:eastAsiaTheme="minorEastAsia" w:hAnsi="Calibri" w:cs="Calibri"/>
          <w:color w:val="000000"/>
          <w:sz w:val="22"/>
          <w:szCs w:val="22"/>
          <w:shd w:val="clear" w:color="auto" w:fill="FFFFFF"/>
        </w:rPr>
        <w:t>,</w:t>
      </w:r>
      <w:r w:rsidRPr="00B9404C">
        <w:rPr>
          <w:rFonts w:ascii="Calibri" w:eastAsiaTheme="minorEastAsia" w:hAnsi="Calibri" w:cs="Calibri"/>
          <w:color w:val="000000"/>
          <w:sz w:val="22"/>
          <w:szCs w:val="22"/>
          <w:shd w:val="clear" w:color="auto" w:fill="FFFFFF"/>
        </w:rPr>
        <w:t xml:space="preserve"> officially </w:t>
      </w:r>
      <w:r w:rsidR="00AD460A">
        <w:rPr>
          <w:rFonts w:ascii="Calibri" w:eastAsiaTheme="minorEastAsia" w:hAnsi="Calibri" w:cs="Calibri"/>
          <w:color w:val="000000"/>
          <w:sz w:val="22"/>
          <w:szCs w:val="22"/>
          <w:shd w:val="clear" w:color="auto" w:fill="FFFFFF"/>
        </w:rPr>
        <w:t>covering</w:t>
      </w:r>
      <w:r w:rsidR="00AD460A" w:rsidRPr="00B9404C">
        <w:rPr>
          <w:rFonts w:ascii="Calibri" w:eastAsiaTheme="minorEastAsia" w:hAnsi="Calibri" w:cs="Calibri"/>
          <w:color w:val="000000"/>
          <w:sz w:val="22"/>
          <w:szCs w:val="22"/>
          <w:shd w:val="clear" w:color="auto" w:fill="FFFFFF"/>
        </w:rPr>
        <w:t xml:space="preserve"> </w:t>
      </w:r>
      <w:r w:rsidRPr="00B9404C">
        <w:rPr>
          <w:rFonts w:ascii="Calibri" w:eastAsiaTheme="minorEastAsia" w:hAnsi="Calibri" w:cs="Calibri"/>
          <w:color w:val="000000"/>
          <w:sz w:val="22"/>
          <w:szCs w:val="22"/>
          <w:shd w:val="clear" w:color="auto" w:fill="FFFFFF"/>
        </w:rPr>
        <w:t xml:space="preserve">the period from July 2025 to December 2026. </w:t>
      </w:r>
    </w:p>
    <w:p w14:paraId="38FFF472" w14:textId="5A771221" w:rsidR="00DD119C" w:rsidRDefault="00DD119C" w:rsidP="00986A65">
      <w:pPr>
        <w:spacing w:before="120" w:after="120"/>
        <w:jc w:val="both"/>
        <w:rPr>
          <w:rFonts w:ascii="Calibri" w:eastAsiaTheme="minorEastAsia" w:hAnsi="Calibri" w:cs="Calibri"/>
          <w:color w:val="000000"/>
          <w:sz w:val="22"/>
          <w:szCs w:val="22"/>
          <w:shd w:val="clear" w:color="auto" w:fill="FFFFFF"/>
        </w:rPr>
      </w:pPr>
      <w:r w:rsidRPr="009846B8">
        <w:rPr>
          <w:rFonts w:ascii="Calibri" w:eastAsiaTheme="minorEastAsia" w:hAnsi="Calibri" w:cs="Calibri"/>
          <w:sz w:val="22"/>
          <w:szCs w:val="22"/>
          <w:shd w:val="clear" w:color="auto" w:fill="FFFFFF"/>
        </w:rPr>
        <w:t xml:space="preserve">The total expenditure for the period from </w:t>
      </w:r>
      <w:r w:rsidR="00CE168D" w:rsidRPr="009846B8">
        <w:rPr>
          <w:rFonts w:ascii="Calibri" w:eastAsiaTheme="minorEastAsia" w:hAnsi="Calibri" w:cs="Calibri"/>
          <w:sz w:val="22"/>
          <w:szCs w:val="22"/>
          <w:shd w:val="clear" w:color="auto" w:fill="FFFFFF"/>
        </w:rPr>
        <w:t xml:space="preserve">the </w:t>
      </w:r>
      <w:r w:rsidR="008D5441">
        <w:rPr>
          <w:rFonts w:ascii="Calibri" w:eastAsiaTheme="minorEastAsia" w:hAnsi="Calibri" w:cs="Calibri"/>
          <w:sz w:val="22"/>
          <w:szCs w:val="22"/>
          <w:shd w:val="clear" w:color="auto" w:fill="FFFFFF"/>
        </w:rPr>
        <w:t>project's</w:t>
      </w:r>
      <w:r w:rsidR="008D5441" w:rsidRPr="009846B8">
        <w:rPr>
          <w:rFonts w:ascii="Calibri" w:eastAsiaTheme="minorEastAsia" w:hAnsi="Calibri" w:cs="Calibri"/>
          <w:sz w:val="22"/>
          <w:szCs w:val="22"/>
          <w:shd w:val="clear" w:color="auto" w:fill="FFFFFF"/>
        </w:rPr>
        <w:t xml:space="preserve"> </w:t>
      </w:r>
      <w:r w:rsidR="00FD1CDC" w:rsidRPr="009846B8">
        <w:rPr>
          <w:rFonts w:ascii="Calibri" w:eastAsiaTheme="minorEastAsia" w:hAnsi="Calibri" w:cs="Calibri"/>
          <w:sz w:val="22"/>
          <w:szCs w:val="22"/>
          <w:shd w:val="clear" w:color="auto" w:fill="FFFFFF"/>
        </w:rPr>
        <w:t xml:space="preserve">start in July </w:t>
      </w:r>
      <w:r w:rsidRPr="009846B8">
        <w:rPr>
          <w:rFonts w:ascii="Calibri" w:eastAsiaTheme="minorEastAsia" w:hAnsi="Calibri" w:cs="Calibri"/>
          <w:sz w:val="22"/>
          <w:szCs w:val="22"/>
          <w:shd w:val="clear" w:color="auto" w:fill="FFFFFF"/>
        </w:rPr>
        <w:t xml:space="preserve">until </w:t>
      </w:r>
      <w:r w:rsidR="00FD1CDC" w:rsidRPr="009846B8">
        <w:rPr>
          <w:rFonts w:ascii="Calibri" w:eastAsiaTheme="minorEastAsia" w:hAnsi="Calibri" w:cs="Calibri"/>
          <w:sz w:val="22"/>
          <w:szCs w:val="22"/>
          <w:shd w:val="clear" w:color="auto" w:fill="FFFFFF"/>
        </w:rPr>
        <w:t>December 31</w:t>
      </w:r>
      <w:r w:rsidR="00FF2D5C" w:rsidRPr="009846B8">
        <w:rPr>
          <w:rFonts w:ascii="Calibri" w:eastAsiaTheme="minorEastAsia" w:hAnsi="Calibri" w:cs="Calibri"/>
          <w:sz w:val="22"/>
          <w:szCs w:val="22"/>
          <w:shd w:val="clear" w:color="auto" w:fill="FFFFFF"/>
        </w:rPr>
        <w:t>, 2025,</w:t>
      </w:r>
      <w:r w:rsidRPr="009846B8">
        <w:rPr>
          <w:rFonts w:ascii="Calibri" w:eastAsiaTheme="minorEastAsia" w:hAnsi="Calibri" w:cs="Calibri"/>
          <w:sz w:val="22"/>
          <w:szCs w:val="22"/>
          <w:shd w:val="clear" w:color="auto" w:fill="FFFFFF"/>
        </w:rPr>
        <w:t xml:space="preserve"> is USD </w:t>
      </w:r>
      <w:r w:rsidR="008A72A8" w:rsidRPr="009846B8">
        <w:rPr>
          <w:rFonts w:ascii="Calibri" w:eastAsiaTheme="minorEastAsia" w:hAnsi="Calibri" w:cs="Calibri"/>
          <w:sz w:val="22"/>
          <w:szCs w:val="22"/>
          <w:shd w:val="clear" w:color="auto" w:fill="FFFFFF"/>
        </w:rPr>
        <w:t>129,573.76</w:t>
      </w:r>
      <w:r w:rsidRPr="009846B8">
        <w:rPr>
          <w:rFonts w:ascii="Calibri" w:eastAsiaTheme="minorEastAsia" w:hAnsi="Calibri" w:cs="Calibri"/>
          <w:sz w:val="22"/>
          <w:szCs w:val="22"/>
          <w:shd w:val="clear" w:color="auto" w:fill="FFFFFF"/>
        </w:rPr>
        <w:t xml:space="preserve">. </w:t>
      </w:r>
      <w:r w:rsidR="00CE168D" w:rsidRPr="009846B8">
        <w:rPr>
          <w:rFonts w:ascii="Calibri" w:eastAsiaTheme="minorEastAsia" w:hAnsi="Calibri" w:cs="Calibri"/>
          <w:sz w:val="22"/>
          <w:szCs w:val="22"/>
          <w:shd w:val="clear" w:color="auto" w:fill="FFFFFF"/>
        </w:rPr>
        <w:t xml:space="preserve">The budget balance on 31st December 2025 was USD </w:t>
      </w:r>
      <w:r w:rsidR="00123F2E" w:rsidRPr="009846B8">
        <w:rPr>
          <w:rFonts w:ascii="Calibri" w:eastAsiaTheme="minorEastAsia" w:hAnsi="Calibri" w:cs="Calibri"/>
          <w:sz w:val="22"/>
          <w:szCs w:val="22"/>
          <w:shd w:val="clear" w:color="auto" w:fill="FFFFFF"/>
        </w:rPr>
        <w:t>1,423,035.63</w:t>
      </w:r>
      <w:r w:rsidR="00123F2E" w:rsidRPr="009846B8">
        <w:rPr>
          <w:rStyle w:val="FootnoteReference"/>
          <w:rFonts w:ascii="Calibri" w:eastAsiaTheme="minorEastAsia" w:hAnsi="Calibri" w:cs="Calibri"/>
          <w:sz w:val="22"/>
          <w:szCs w:val="22"/>
          <w:shd w:val="clear" w:color="auto" w:fill="FFFFFF"/>
        </w:rPr>
        <w:footnoteReference w:id="2"/>
      </w:r>
      <w:r w:rsidR="00986A65">
        <w:rPr>
          <w:rFonts w:ascii="Calibri" w:eastAsiaTheme="minorEastAsia" w:hAnsi="Calibri" w:cs="Calibri"/>
          <w:sz w:val="22"/>
          <w:szCs w:val="22"/>
          <w:shd w:val="clear" w:color="auto" w:fill="FFFFFF"/>
        </w:rPr>
        <w:t xml:space="preserve">. </w:t>
      </w:r>
      <w:r w:rsidRPr="00DD119C">
        <w:rPr>
          <w:rFonts w:ascii="Calibri" w:eastAsiaTheme="minorEastAsia" w:hAnsi="Calibri" w:cs="Calibri"/>
          <w:color w:val="000000"/>
          <w:sz w:val="22"/>
          <w:szCs w:val="22"/>
          <w:shd w:val="clear" w:color="auto" w:fill="FFFFFF"/>
        </w:rPr>
        <w:t xml:space="preserve">These figures are still the subject of possible minor changes since the final formal finance data are not yet available. </w:t>
      </w:r>
    </w:p>
    <w:p w14:paraId="1F1422A0" w14:textId="2EFD93BF" w:rsidR="00BD203D" w:rsidRPr="00753A51" w:rsidRDefault="00BD203D" w:rsidP="00BD203D">
      <w:pPr>
        <w:pStyle w:val="NoSpacing"/>
        <w:spacing w:before="120" w:after="120"/>
        <w:rPr>
          <w:rStyle w:val="normaltextrun"/>
          <w:rFonts w:ascii="Calibri" w:hAnsi="Calibri" w:cs="Calibri"/>
          <w:b/>
          <w:bCs/>
          <w:color w:val="000000"/>
          <w:shd w:val="clear" w:color="auto" w:fill="FFFFFF"/>
        </w:rPr>
      </w:pPr>
      <w:r w:rsidRPr="00753A51">
        <w:rPr>
          <w:rStyle w:val="normaltextrun"/>
          <w:rFonts w:ascii="Calibri" w:hAnsi="Calibri" w:cs="Calibri"/>
          <w:b/>
          <w:bCs/>
          <w:color w:val="000000"/>
          <w:shd w:val="clear" w:color="auto" w:fill="FFFFFF"/>
        </w:rPr>
        <w:t xml:space="preserve">Management </w:t>
      </w:r>
      <w:r w:rsidR="00F24C9B">
        <w:rPr>
          <w:rStyle w:val="normaltextrun"/>
          <w:rFonts w:ascii="Calibri" w:hAnsi="Calibri" w:cs="Calibri"/>
          <w:b/>
          <w:bCs/>
          <w:color w:val="000000"/>
          <w:shd w:val="clear" w:color="auto" w:fill="FFFFFF"/>
        </w:rPr>
        <w:t>and communications</w:t>
      </w:r>
    </w:p>
    <w:p w14:paraId="551490B7" w14:textId="1CFB89CD" w:rsidR="00C14722" w:rsidRDefault="00C14722" w:rsidP="00C14722">
      <w:pPr>
        <w:spacing w:before="120" w:after="120"/>
        <w:jc w:val="both"/>
        <w:rPr>
          <w:rFonts w:ascii="Calibri" w:eastAsiaTheme="minorEastAsia" w:hAnsi="Calibri" w:cs="Calibri"/>
          <w:color w:val="000000"/>
          <w:sz w:val="22"/>
          <w:szCs w:val="22"/>
          <w:shd w:val="clear" w:color="auto" w:fill="FFFFFF"/>
        </w:rPr>
      </w:pPr>
      <w:r w:rsidRPr="009741E9">
        <w:rPr>
          <w:rFonts w:ascii="Calibri" w:eastAsiaTheme="minorEastAsia" w:hAnsi="Calibri" w:cs="Calibri"/>
          <w:color w:val="000000"/>
          <w:sz w:val="22"/>
          <w:szCs w:val="22"/>
          <w:shd w:val="clear" w:color="auto" w:fill="FFFFFF"/>
        </w:rPr>
        <w:t>The project gradually developed since its initiation in July</w:t>
      </w:r>
      <w:r w:rsidR="00296A1B">
        <w:rPr>
          <w:rFonts w:ascii="Calibri" w:eastAsiaTheme="minorEastAsia" w:hAnsi="Calibri" w:cs="Calibri"/>
          <w:color w:val="000000"/>
          <w:sz w:val="22"/>
          <w:szCs w:val="22"/>
          <w:shd w:val="clear" w:color="auto" w:fill="FFFFFF"/>
        </w:rPr>
        <w:t xml:space="preserve"> 2025</w:t>
      </w:r>
      <w:r w:rsidRPr="009741E9">
        <w:rPr>
          <w:rFonts w:ascii="Calibri" w:eastAsiaTheme="minorEastAsia" w:hAnsi="Calibri" w:cs="Calibri"/>
          <w:color w:val="000000"/>
          <w:sz w:val="22"/>
          <w:szCs w:val="22"/>
          <w:shd w:val="clear" w:color="auto" w:fill="FFFFFF"/>
        </w:rPr>
        <w:t xml:space="preserve">, with responsibilities initially designated during the early stages. </w:t>
      </w:r>
      <w:r w:rsidR="0009518E" w:rsidRPr="0009518E">
        <w:rPr>
          <w:rFonts w:ascii="Calibri" w:eastAsiaTheme="minorEastAsia" w:hAnsi="Calibri" w:cs="Calibri"/>
          <w:color w:val="000000"/>
          <w:sz w:val="22"/>
          <w:szCs w:val="22"/>
          <w:shd w:val="clear" w:color="auto" w:fill="FFFFFF"/>
        </w:rPr>
        <w:t xml:space="preserve">The project </w:t>
      </w:r>
      <w:r w:rsidR="00296A1B">
        <w:rPr>
          <w:rFonts w:ascii="Calibri" w:eastAsiaTheme="minorEastAsia" w:hAnsi="Calibri" w:cs="Calibri"/>
          <w:color w:val="000000"/>
          <w:sz w:val="22"/>
          <w:szCs w:val="22"/>
          <w:shd w:val="clear" w:color="auto" w:fill="FFFFFF"/>
        </w:rPr>
        <w:t xml:space="preserve">team </w:t>
      </w:r>
      <w:r w:rsidR="0009518E" w:rsidRPr="0009518E">
        <w:rPr>
          <w:rFonts w:ascii="Calibri" w:eastAsiaTheme="minorEastAsia" w:hAnsi="Calibri" w:cs="Calibri"/>
          <w:color w:val="000000"/>
          <w:sz w:val="22"/>
          <w:szCs w:val="22"/>
          <w:shd w:val="clear" w:color="auto" w:fill="FFFFFF"/>
        </w:rPr>
        <w:t>was fully staffed in early November, when the Project Analyst was added to the team of the Project Manager and Project Associate.</w:t>
      </w:r>
      <w:r w:rsidR="0009518E" w:rsidRPr="0009518E">
        <w:rPr>
          <w:rFonts w:eastAsiaTheme="minorEastAsia"/>
          <w:sz w:val="22"/>
          <w:szCs w:val="22"/>
        </w:rPr>
        <w:t xml:space="preserve"> </w:t>
      </w:r>
      <w:r w:rsidRPr="009741E9">
        <w:rPr>
          <w:rFonts w:ascii="Calibri" w:eastAsiaTheme="minorEastAsia" w:hAnsi="Calibri" w:cs="Calibri"/>
          <w:color w:val="000000"/>
          <w:sz w:val="22"/>
          <w:szCs w:val="22"/>
          <w:shd w:val="clear" w:color="auto" w:fill="FFFFFF"/>
        </w:rPr>
        <w:t>The first Project Board meeting took place in October, during which the work plan was officially approved.</w:t>
      </w:r>
    </w:p>
    <w:p w14:paraId="11009A12" w14:textId="0ABC39CA" w:rsidR="00C14722" w:rsidRDefault="00C14722" w:rsidP="00C14722">
      <w:pPr>
        <w:spacing w:before="120" w:after="120"/>
        <w:jc w:val="both"/>
        <w:rPr>
          <w:rFonts w:ascii="Calibri" w:eastAsiaTheme="minorEastAsia" w:hAnsi="Calibri" w:cs="Calibri"/>
          <w:color w:val="000000"/>
          <w:sz w:val="22"/>
          <w:szCs w:val="22"/>
          <w:shd w:val="clear" w:color="auto" w:fill="FFFFFF"/>
        </w:rPr>
      </w:pPr>
      <w:r w:rsidRPr="00B9404C">
        <w:rPr>
          <w:rFonts w:ascii="Calibri" w:eastAsiaTheme="minorEastAsia" w:hAnsi="Calibri" w:cs="Calibri"/>
          <w:color w:val="000000"/>
          <w:sz w:val="22"/>
          <w:szCs w:val="22"/>
          <w:shd w:val="clear" w:color="auto" w:fill="FFFFFF"/>
        </w:rPr>
        <w:t xml:space="preserve">During this phase, the project focused on initiating key activities under Output 1, including establishing the research methodology and engaging with local civil society organizations. </w:t>
      </w:r>
    </w:p>
    <w:p w14:paraId="71BC4E5F" w14:textId="2B741CB9" w:rsidR="001F68D0" w:rsidRPr="001F68D0" w:rsidRDefault="001F68D0" w:rsidP="00D65668">
      <w:pPr>
        <w:pStyle w:val="NoSpacing"/>
        <w:spacing w:before="120" w:after="120"/>
        <w:jc w:val="both"/>
        <w:rPr>
          <w:rStyle w:val="normaltextrun"/>
          <w:rFonts w:ascii="Calibri" w:hAnsi="Calibri" w:cs="Calibri"/>
          <w:color w:val="000000"/>
          <w:shd w:val="clear" w:color="auto" w:fill="FFFFFF"/>
        </w:rPr>
      </w:pPr>
      <w:r w:rsidRPr="001F68D0">
        <w:rPr>
          <w:rStyle w:val="normaltextrun"/>
          <w:rFonts w:ascii="Calibri" w:hAnsi="Calibri" w:cs="Calibri"/>
          <w:color w:val="000000"/>
          <w:shd w:val="clear" w:color="auto" w:fill="FFFFFF"/>
        </w:rPr>
        <w:t>In 2025, the SCORE Project maintained a low public profile during its initial implementation period, as outlined in the draft Communication Plan developed in October</w:t>
      </w:r>
      <w:r w:rsidR="00296A1B">
        <w:rPr>
          <w:rStyle w:val="normaltextrun"/>
          <w:rFonts w:ascii="Calibri" w:hAnsi="Calibri" w:cs="Calibri"/>
          <w:color w:val="000000"/>
          <w:shd w:val="clear" w:color="auto" w:fill="FFFFFF"/>
        </w:rPr>
        <w:t xml:space="preserve"> 2025</w:t>
      </w:r>
      <w:r w:rsidRPr="001F68D0">
        <w:rPr>
          <w:rStyle w:val="normaltextrun"/>
          <w:rFonts w:ascii="Calibri" w:hAnsi="Calibri" w:cs="Calibri"/>
          <w:color w:val="000000"/>
          <w:shd w:val="clear" w:color="auto" w:fill="FFFFFF"/>
        </w:rPr>
        <w:t>. This approach allowed the team to focus on establishing the research framework, completing data collection, and building key partnerships ahead of the project's public-facing phase.</w:t>
      </w:r>
    </w:p>
    <w:p w14:paraId="7F8BC48E" w14:textId="77777777" w:rsidR="001F68D0" w:rsidRDefault="001F68D0" w:rsidP="00D65668">
      <w:pPr>
        <w:pStyle w:val="NoSpacing"/>
        <w:spacing w:before="120" w:after="120"/>
        <w:jc w:val="both"/>
        <w:rPr>
          <w:rStyle w:val="normaltextrun"/>
          <w:rFonts w:ascii="Calibri" w:hAnsi="Calibri" w:cs="Calibri"/>
          <w:color w:val="000000"/>
          <w:shd w:val="clear" w:color="auto" w:fill="FFFFFF"/>
        </w:rPr>
      </w:pPr>
      <w:r w:rsidRPr="001F68D0">
        <w:rPr>
          <w:rStyle w:val="normaltextrun"/>
          <w:rFonts w:ascii="Calibri" w:hAnsi="Calibri" w:cs="Calibri"/>
          <w:color w:val="000000"/>
          <w:shd w:val="clear" w:color="auto" w:fill="FFFFFF"/>
        </w:rPr>
        <w:t>Communication activities in 2025 focused on preparing the ground for the project's public engagement in 2026. This included coordinating with partners on the deployment of the third SCORE survey wave, preparing presentations for focus group discussions in five municipalities, and engaging with stakeholders ahead of the planned publication of findings.</w:t>
      </w:r>
    </w:p>
    <w:p w14:paraId="110AFD07" w14:textId="77777777" w:rsidR="00447752" w:rsidRPr="001F68D0" w:rsidRDefault="00447752" w:rsidP="00447752">
      <w:pPr>
        <w:pStyle w:val="NoSpacing"/>
        <w:spacing w:before="120" w:after="120"/>
        <w:jc w:val="both"/>
        <w:rPr>
          <w:rStyle w:val="normaltextrun"/>
          <w:rFonts w:ascii="Calibri" w:hAnsi="Calibri" w:cs="Calibri"/>
          <w:color w:val="000000"/>
          <w:shd w:val="clear" w:color="auto" w:fill="FFFFFF"/>
        </w:rPr>
      </w:pPr>
      <w:r w:rsidRPr="001F68D0">
        <w:rPr>
          <w:rStyle w:val="normaltextrun"/>
          <w:rFonts w:ascii="Calibri" w:hAnsi="Calibri" w:cs="Calibri"/>
          <w:color w:val="000000"/>
          <w:shd w:val="clear" w:color="auto" w:fill="FFFFFF"/>
        </w:rPr>
        <w:t xml:space="preserve">The communication strategy aimed to position the SCORE Project as an evidence-based platform for strengthening social cohesion and resilience in Bosnia and Herzegovina. The project ensured visibility for UNDP and the Danish Government, with their roles as implementing agency and donor clearly acknowledged across </w:t>
      </w:r>
      <w:r w:rsidRPr="001F68D0">
        <w:rPr>
          <w:rStyle w:val="normaltextrun"/>
          <w:rFonts w:ascii="Calibri" w:hAnsi="Calibri" w:cs="Calibri"/>
          <w:color w:val="000000"/>
          <w:shd w:val="clear" w:color="auto" w:fill="FFFFFF"/>
        </w:rPr>
        <w:lastRenderedPageBreak/>
        <w:t>all materials. The Communication Plan established key messages, target audiences, visual identity standards, and the donor acknowledgement framework to guide all outreach activities.</w:t>
      </w:r>
    </w:p>
    <w:p w14:paraId="7DDE8DCC" w14:textId="634560BB" w:rsidR="00A64CDB" w:rsidRDefault="001F68D0" w:rsidP="00A64CDB">
      <w:pPr>
        <w:pStyle w:val="NoSpacing"/>
        <w:spacing w:before="120" w:after="120"/>
        <w:jc w:val="both"/>
        <w:rPr>
          <w:rStyle w:val="normaltextrun"/>
          <w:rFonts w:ascii="Calibri" w:hAnsi="Calibri" w:cs="Calibri"/>
          <w:color w:val="000000"/>
          <w:shd w:val="clear" w:color="auto" w:fill="FFFFFF"/>
        </w:rPr>
      </w:pPr>
      <w:r w:rsidRPr="001F68D0">
        <w:rPr>
          <w:rStyle w:val="normaltextrun"/>
          <w:rFonts w:ascii="Calibri" w:hAnsi="Calibri" w:cs="Calibri"/>
          <w:color w:val="000000"/>
          <w:shd w:val="clear" w:color="auto" w:fill="FFFFFF"/>
        </w:rPr>
        <w:t>In 2026, communication efforts will shift toward the phased release of SCORE findings, including national and local presentations of results, the publication of the Social Cohesion Trends &amp; Changes Report, and promotion of local initiatives in the ten booster municipalities. Social media platforms, the UNDP BiH website, and national and local press will serve as primary channels, with engagement metrics used to evaluate effectiveness and adjust outreach accordingly.</w:t>
      </w:r>
      <w:r w:rsidR="00CE4D33">
        <w:rPr>
          <w:rStyle w:val="normaltextrun"/>
          <w:rFonts w:ascii="Calibri" w:hAnsi="Calibri" w:cs="Calibri"/>
          <w:color w:val="000000"/>
          <w:shd w:val="clear" w:color="auto" w:fill="FFFFFF"/>
        </w:rPr>
        <w:t xml:space="preserve"> </w:t>
      </w:r>
    </w:p>
    <w:p w14:paraId="2E9DA4EB" w14:textId="5DF2D593" w:rsidR="004732D4" w:rsidRPr="00753A51" w:rsidRDefault="004732D4" w:rsidP="00F565A3">
      <w:pPr>
        <w:pStyle w:val="NoSpacing"/>
        <w:spacing w:before="120" w:after="120"/>
        <w:jc w:val="both"/>
        <w:rPr>
          <w:rStyle w:val="normaltextrun"/>
          <w:rFonts w:ascii="Calibri" w:hAnsi="Calibri" w:cs="Calibri"/>
          <w:color w:val="000000"/>
          <w:shd w:val="clear" w:color="auto" w:fill="FFFFFF"/>
        </w:rPr>
      </w:pPr>
    </w:p>
    <w:p w14:paraId="0FCCB76E" w14:textId="61AC2825" w:rsidR="005B6422" w:rsidRPr="00753A51" w:rsidRDefault="005B6422" w:rsidP="005B6422">
      <w:pPr>
        <w:pStyle w:val="Heading1"/>
        <w:shd w:val="clear" w:color="auto" w:fill="44546A" w:themeFill="text2"/>
        <w:spacing w:before="120" w:after="120"/>
        <w:rPr>
          <w:rFonts w:asciiTheme="minorHAnsi" w:hAnsiTheme="minorHAnsi" w:cstheme="minorHAnsi"/>
          <w:caps/>
          <w:color w:val="FFFFFF" w:themeColor="background1"/>
          <w:sz w:val="22"/>
          <w:szCs w:val="22"/>
          <w:lang w:val="en-GB"/>
        </w:rPr>
      </w:pPr>
      <w:bookmarkStart w:id="34" w:name="_Toc522004556"/>
      <w:bookmarkStart w:id="35" w:name="_Toc225409791"/>
      <w:r w:rsidRPr="00753A51">
        <w:rPr>
          <w:rFonts w:asciiTheme="minorHAnsi" w:hAnsiTheme="minorHAnsi" w:cstheme="minorHAnsi"/>
          <w:caps/>
          <w:color w:val="FFFFFF" w:themeColor="background1"/>
          <w:sz w:val="22"/>
          <w:szCs w:val="22"/>
          <w:lang w:val="en-GB"/>
        </w:rPr>
        <w:t xml:space="preserve">chApter </w:t>
      </w:r>
      <w:r w:rsidR="00CF302C">
        <w:rPr>
          <w:rFonts w:asciiTheme="minorHAnsi" w:hAnsiTheme="minorHAnsi" w:cstheme="minorHAnsi"/>
          <w:caps/>
          <w:color w:val="FFFFFF" w:themeColor="background1"/>
          <w:sz w:val="22"/>
          <w:szCs w:val="22"/>
          <w:lang w:val="en-GB"/>
        </w:rPr>
        <w:t>6</w:t>
      </w:r>
      <w:r w:rsidRPr="00753A51">
        <w:rPr>
          <w:rFonts w:asciiTheme="minorHAnsi" w:hAnsiTheme="minorHAnsi" w:cstheme="minorHAnsi"/>
          <w:caps/>
          <w:color w:val="FFFFFF" w:themeColor="background1"/>
          <w:sz w:val="22"/>
          <w:szCs w:val="22"/>
          <w:lang w:val="en-GB"/>
        </w:rPr>
        <w:t xml:space="preserve"> – lessons learnt</w:t>
      </w:r>
      <w:bookmarkEnd w:id="34"/>
      <w:r w:rsidRPr="00753A51">
        <w:rPr>
          <w:rFonts w:asciiTheme="minorHAnsi" w:hAnsiTheme="minorHAnsi" w:cstheme="minorHAnsi"/>
          <w:caps/>
          <w:color w:val="FFFFFF" w:themeColor="background1"/>
          <w:sz w:val="22"/>
          <w:szCs w:val="22"/>
          <w:lang w:val="en-GB"/>
        </w:rPr>
        <w:t xml:space="preserve"> </w:t>
      </w:r>
      <w:r w:rsidR="003F61F8">
        <w:rPr>
          <w:rFonts w:asciiTheme="minorHAnsi" w:hAnsiTheme="minorHAnsi" w:cstheme="minorHAnsi"/>
          <w:caps/>
          <w:color w:val="FFFFFF" w:themeColor="background1"/>
          <w:sz w:val="22"/>
          <w:szCs w:val="22"/>
          <w:lang w:val="en-GB"/>
        </w:rPr>
        <w:t>AND SUSTAINABILITY</w:t>
      </w:r>
      <w:bookmarkEnd w:id="35"/>
      <w:r w:rsidR="003F61F8">
        <w:rPr>
          <w:rFonts w:asciiTheme="minorHAnsi" w:hAnsiTheme="minorHAnsi" w:cstheme="minorHAnsi"/>
          <w:caps/>
          <w:color w:val="FFFFFF" w:themeColor="background1"/>
          <w:sz w:val="22"/>
          <w:szCs w:val="22"/>
          <w:lang w:val="en-GB"/>
        </w:rPr>
        <w:t xml:space="preserve"> </w:t>
      </w:r>
    </w:p>
    <w:p w14:paraId="6F4E9813" w14:textId="32465E89" w:rsidR="00753EF7" w:rsidRPr="00753EF7" w:rsidRDefault="00753EF7" w:rsidP="00600992">
      <w:pPr>
        <w:pStyle w:val="paragraph"/>
        <w:jc w:val="both"/>
        <w:textAlignment w:val="baseline"/>
        <w:rPr>
          <w:rFonts w:ascii="Calibri" w:hAnsi="Calibri" w:cs="Calibri"/>
          <w:sz w:val="22"/>
          <w:szCs w:val="22"/>
          <w:lang w:val="en-GB"/>
        </w:rPr>
      </w:pPr>
      <w:r w:rsidRPr="00753EF7">
        <w:rPr>
          <w:rFonts w:ascii="Calibri" w:hAnsi="Calibri" w:cs="Calibri"/>
          <w:sz w:val="22"/>
          <w:szCs w:val="22"/>
          <w:lang w:val="en-GB"/>
        </w:rPr>
        <w:t xml:space="preserve">In 2025, </w:t>
      </w:r>
      <w:r w:rsidR="00600992">
        <w:rPr>
          <w:rFonts w:ascii="Calibri" w:hAnsi="Calibri" w:cs="Calibri"/>
          <w:sz w:val="22"/>
          <w:szCs w:val="22"/>
          <w:lang w:val="en-GB"/>
        </w:rPr>
        <w:t xml:space="preserve">during initial steps in project implementation, </w:t>
      </w:r>
      <w:r w:rsidRPr="00753EF7">
        <w:rPr>
          <w:rFonts w:ascii="Calibri" w:hAnsi="Calibri" w:cs="Calibri"/>
          <w:sz w:val="22"/>
          <w:szCs w:val="22"/>
          <w:lang w:val="en-GB"/>
        </w:rPr>
        <w:t>the SCORE Project faced several challenges that provided valuable lessons for future implementation.</w:t>
      </w:r>
    </w:p>
    <w:p w14:paraId="352CFF46" w14:textId="77777777" w:rsidR="00753EF7" w:rsidRPr="00753EF7" w:rsidRDefault="00753EF7" w:rsidP="00600992">
      <w:pPr>
        <w:pStyle w:val="paragraph"/>
        <w:jc w:val="both"/>
        <w:textAlignment w:val="baseline"/>
        <w:rPr>
          <w:rFonts w:ascii="Calibri" w:hAnsi="Calibri" w:cs="Calibri"/>
          <w:sz w:val="22"/>
          <w:szCs w:val="22"/>
          <w:lang w:val="en-GB"/>
        </w:rPr>
      </w:pPr>
    </w:p>
    <w:p w14:paraId="208957F8" w14:textId="51B32FAE" w:rsidR="00753EF7" w:rsidRPr="00753EF7" w:rsidRDefault="00753EF7" w:rsidP="00600992">
      <w:pPr>
        <w:pStyle w:val="paragraph"/>
        <w:jc w:val="both"/>
        <w:textAlignment w:val="baseline"/>
        <w:rPr>
          <w:rFonts w:ascii="Calibri" w:hAnsi="Calibri" w:cs="Calibri"/>
          <w:sz w:val="22"/>
          <w:szCs w:val="22"/>
          <w:lang w:val="en-GB"/>
        </w:rPr>
      </w:pPr>
      <w:r w:rsidRPr="00753EF7">
        <w:rPr>
          <w:rFonts w:ascii="Calibri" w:hAnsi="Calibri" w:cs="Calibri"/>
          <w:sz w:val="22"/>
          <w:szCs w:val="22"/>
          <w:lang w:val="en-GB"/>
        </w:rPr>
        <w:t xml:space="preserve">1. </w:t>
      </w:r>
      <w:r w:rsidRPr="007F6530">
        <w:rPr>
          <w:rFonts w:ascii="Calibri" w:hAnsi="Calibri" w:cs="Calibri"/>
          <w:sz w:val="22"/>
          <w:szCs w:val="22"/>
          <w:u w:val="single"/>
          <w:lang w:val="en-GB"/>
        </w:rPr>
        <w:t xml:space="preserve">Tailored </w:t>
      </w:r>
      <w:r w:rsidR="008A5182">
        <w:rPr>
          <w:rFonts w:ascii="Calibri" w:hAnsi="Calibri" w:cs="Calibri"/>
          <w:sz w:val="22"/>
          <w:szCs w:val="22"/>
          <w:u w:val="single"/>
          <w:lang w:val="en-GB"/>
        </w:rPr>
        <w:t>a</w:t>
      </w:r>
      <w:r w:rsidRPr="007F6530">
        <w:rPr>
          <w:rFonts w:ascii="Calibri" w:hAnsi="Calibri" w:cs="Calibri"/>
          <w:sz w:val="22"/>
          <w:szCs w:val="22"/>
          <w:u w:val="single"/>
          <w:lang w:val="en-GB"/>
        </w:rPr>
        <w:t>pproaches for</w:t>
      </w:r>
      <w:r w:rsidR="008A5182">
        <w:rPr>
          <w:rFonts w:ascii="Calibri" w:hAnsi="Calibri" w:cs="Calibri"/>
          <w:sz w:val="22"/>
          <w:szCs w:val="22"/>
          <w:u w:val="single"/>
          <w:lang w:val="en-GB"/>
        </w:rPr>
        <w:t xml:space="preserve"> d</w:t>
      </w:r>
      <w:r w:rsidRPr="007F6530">
        <w:rPr>
          <w:rFonts w:ascii="Calibri" w:hAnsi="Calibri" w:cs="Calibri"/>
          <w:sz w:val="22"/>
          <w:szCs w:val="22"/>
          <w:u w:val="single"/>
          <w:lang w:val="en-GB"/>
        </w:rPr>
        <w:t xml:space="preserve">iverse </w:t>
      </w:r>
      <w:r w:rsidR="008A5182">
        <w:rPr>
          <w:rFonts w:ascii="Calibri" w:hAnsi="Calibri" w:cs="Calibri"/>
          <w:sz w:val="22"/>
          <w:szCs w:val="22"/>
          <w:u w:val="single"/>
          <w:lang w:val="en-GB"/>
        </w:rPr>
        <w:t>l</w:t>
      </w:r>
      <w:r w:rsidRPr="007F6530">
        <w:rPr>
          <w:rFonts w:ascii="Calibri" w:hAnsi="Calibri" w:cs="Calibri"/>
          <w:sz w:val="22"/>
          <w:szCs w:val="22"/>
          <w:u w:val="single"/>
          <w:lang w:val="en-GB"/>
        </w:rPr>
        <w:t xml:space="preserve">ocal </w:t>
      </w:r>
      <w:r w:rsidR="008A5182">
        <w:rPr>
          <w:rFonts w:ascii="Calibri" w:hAnsi="Calibri" w:cs="Calibri"/>
          <w:sz w:val="22"/>
          <w:szCs w:val="22"/>
          <w:u w:val="single"/>
          <w:lang w:val="en-GB"/>
        </w:rPr>
        <w:t>c</w:t>
      </w:r>
      <w:r w:rsidRPr="007F6530">
        <w:rPr>
          <w:rFonts w:ascii="Calibri" w:hAnsi="Calibri" w:cs="Calibri"/>
          <w:sz w:val="22"/>
          <w:szCs w:val="22"/>
          <w:u w:val="single"/>
          <w:lang w:val="en-GB"/>
        </w:rPr>
        <w:t>ontexts</w:t>
      </w:r>
      <w:r w:rsidR="00600992">
        <w:rPr>
          <w:rFonts w:ascii="Calibri" w:hAnsi="Calibri" w:cs="Calibri"/>
          <w:sz w:val="22"/>
          <w:szCs w:val="22"/>
          <w:lang w:val="en-GB"/>
        </w:rPr>
        <w:t xml:space="preserve">: </w:t>
      </w:r>
      <w:r w:rsidRPr="00753EF7">
        <w:rPr>
          <w:rFonts w:ascii="Calibri" w:hAnsi="Calibri" w:cs="Calibri"/>
          <w:sz w:val="22"/>
          <w:szCs w:val="22"/>
          <w:lang w:val="en-GB"/>
        </w:rPr>
        <w:t xml:space="preserve">The project highlighted the importance of a tailored approach in addressing the unique needs of each local government and community. What worked in one municipality often did not apply in another, due to varying socio-political dynamics, demographic compositions, and governance capacities. The establishment of LDGs was crucial, as it allowed the project to adapt to each municipality’s specific challenges, ensuring that solutions were locally driven and </w:t>
      </w:r>
      <w:proofErr w:type="gramStart"/>
      <w:r w:rsidRPr="00753EF7">
        <w:rPr>
          <w:rFonts w:ascii="Calibri" w:hAnsi="Calibri" w:cs="Calibri"/>
          <w:sz w:val="22"/>
          <w:szCs w:val="22"/>
          <w:lang w:val="en-GB"/>
        </w:rPr>
        <w:t>context-specific</w:t>
      </w:r>
      <w:proofErr w:type="gramEnd"/>
      <w:r w:rsidRPr="00753EF7">
        <w:rPr>
          <w:rFonts w:ascii="Calibri" w:hAnsi="Calibri" w:cs="Calibri"/>
          <w:sz w:val="22"/>
          <w:szCs w:val="22"/>
          <w:lang w:val="en-GB"/>
        </w:rPr>
        <w:t>. Moving forward, further customization and flexibility will be key to meeting diverse community needs.</w:t>
      </w:r>
    </w:p>
    <w:p w14:paraId="3D424207" w14:textId="77777777" w:rsidR="00753EF7" w:rsidRPr="00753EF7" w:rsidRDefault="00753EF7" w:rsidP="00600992">
      <w:pPr>
        <w:pStyle w:val="paragraph"/>
        <w:jc w:val="both"/>
        <w:textAlignment w:val="baseline"/>
        <w:rPr>
          <w:rFonts w:ascii="Calibri" w:hAnsi="Calibri" w:cs="Calibri"/>
          <w:sz w:val="22"/>
          <w:szCs w:val="22"/>
          <w:lang w:val="en-GB"/>
        </w:rPr>
      </w:pPr>
    </w:p>
    <w:p w14:paraId="41E65772" w14:textId="15CEFD74" w:rsidR="00753EF7" w:rsidRPr="00753EF7" w:rsidRDefault="00875045" w:rsidP="00600992">
      <w:pPr>
        <w:pStyle w:val="paragraph"/>
        <w:jc w:val="both"/>
        <w:textAlignment w:val="baseline"/>
        <w:rPr>
          <w:rFonts w:ascii="Calibri" w:hAnsi="Calibri" w:cs="Calibri"/>
          <w:sz w:val="22"/>
          <w:szCs w:val="22"/>
          <w:lang w:val="en-GB"/>
        </w:rPr>
      </w:pPr>
      <w:r>
        <w:rPr>
          <w:rFonts w:ascii="Calibri" w:hAnsi="Calibri" w:cs="Calibri"/>
          <w:sz w:val="22"/>
          <w:szCs w:val="22"/>
          <w:lang w:val="en-GB"/>
        </w:rPr>
        <w:t>2</w:t>
      </w:r>
      <w:r w:rsidR="00753EF7" w:rsidRPr="00753EF7">
        <w:rPr>
          <w:rFonts w:ascii="Calibri" w:hAnsi="Calibri" w:cs="Calibri"/>
          <w:sz w:val="22"/>
          <w:szCs w:val="22"/>
          <w:lang w:val="en-GB"/>
        </w:rPr>
        <w:t xml:space="preserve">. </w:t>
      </w:r>
      <w:r w:rsidR="00753EF7" w:rsidRPr="007F6530">
        <w:rPr>
          <w:rFonts w:ascii="Calibri" w:hAnsi="Calibri" w:cs="Calibri"/>
          <w:sz w:val="22"/>
          <w:szCs w:val="22"/>
          <w:u w:val="single"/>
          <w:lang w:val="en-GB"/>
        </w:rPr>
        <w:t xml:space="preserve">Importance of </w:t>
      </w:r>
      <w:r w:rsidR="00D239C0">
        <w:rPr>
          <w:rFonts w:ascii="Calibri" w:hAnsi="Calibri" w:cs="Calibri"/>
          <w:sz w:val="22"/>
          <w:szCs w:val="22"/>
          <w:u w:val="single"/>
          <w:lang w:val="en-GB"/>
        </w:rPr>
        <w:t>l</w:t>
      </w:r>
      <w:r w:rsidR="00753EF7" w:rsidRPr="007F6530">
        <w:rPr>
          <w:rFonts w:ascii="Calibri" w:hAnsi="Calibri" w:cs="Calibri"/>
          <w:sz w:val="22"/>
          <w:szCs w:val="22"/>
          <w:u w:val="single"/>
          <w:lang w:val="en-GB"/>
        </w:rPr>
        <w:t xml:space="preserve">ocal </w:t>
      </w:r>
      <w:r w:rsidR="00D239C0">
        <w:rPr>
          <w:rFonts w:ascii="Calibri" w:hAnsi="Calibri" w:cs="Calibri"/>
          <w:sz w:val="22"/>
          <w:szCs w:val="22"/>
          <w:u w:val="single"/>
          <w:lang w:val="en-GB"/>
        </w:rPr>
        <w:t>o</w:t>
      </w:r>
      <w:r w:rsidR="00753EF7" w:rsidRPr="007F6530">
        <w:rPr>
          <w:rFonts w:ascii="Calibri" w:hAnsi="Calibri" w:cs="Calibri"/>
          <w:sz w:val="22"/>
          <w:szCs w:val="22"/>
          <w:u w:val="single"/>
          <w:lang w:val="en-GB"/>
        </w:rPr>
        <w:t xml:space="preserve">wnership and </w:t>
      </w:r>
      <w:r w:rsidR="00D239C0">
        <w:rPr>
          <w:rFonts w:ascii="Calibri" w:hAnsi="Calibri" w:cs="Calibri"/>
          <w:sz w:val="22"/>
          <w:szCs w:val="22"/>
          <w:u w:val="single"/>
          <w:lang w:val="en-GB"/>
        </w:rPr>
        <w:t>e</w:t>
      </w:r>
      <w:r w:rsidR="00753EF7" w:rsidRPr="007F6530">
        <w:rPr>
          <w:rFonts w:ascii="Calibri" w:hAnsi="Calibri" w:cs="Calibri"/>
          <w:sz w:val="22"/>
          <w:szCs w:val="22"/>
          <w:u w:val="single"/>
          <w:lang w:val="en-GB"/>
        </w:rPr>
        <w:t>ngagement</w:t>
      </w:r>
      <w:r w:rsidR="00600992">
        <w:rPr>
          <w:rFonts w:ascii="Calibri" w:hAnsi="Calibri" w:cs="Calibri"/>
          <w:sz w:val="22"/>
          <w:szCs w:val="22"/>
          <w:lang w:val="en-GB"/>
        </w:rPr>
        <w:t xml:space="preserve">: </w:t>
      </w:r>
      <w:r w:rsidR="00753EF7" w:rsidRPr="00753EF7">
        <w:rPr>
          <w:rFonts w:ascii="Calibri" w:hAnsi="Calibri" w:cs="Calibri"/>
          <w:sz w:val="22"/>
          <w:szCs w:val="22"/>
          <w:lang w:val="en-GB"/>
        </w:rPr>
        <w:t xml:space="preserve">A key lesson learned was the necessity of local ownership for the sustainability of the project’s outcomes. The involvement of </w:t>
      </w:r>
      <w:r w:rsidR="007F6530">
        <w:rPr>
          <w:rFonts w:ascii="Calibri" w:hAnsi="Calibri" w:cs="Calibri"/>
          <w:sz w:val="22"/>
          <w:szCs w:val="22"/>
          <w:lang w:val="en-GB"/>
        </w:rPr>
        <w:t xml:space="preserve">relevant institutions, academia representatives, </w:t>
      </w:r>
      <w:r w:rsidR="002C2804">
        <w:rPr>
          <w:rFonts w:ascii="Calibri" w:hAnsi="Calibri" w:cs="Calibri"/>
          <w:sz w:val="22"/>
          <w:szCs w:val="22"/>
          <w:lang w:val="en-GB"/>
        </w:rPr>
        <w:t>LGs and CSOs</w:t>
      </w:r>
      <w:r w:rsidR="00753EF7" w:rsidRPr="00753EF7">
        <w:rPr>
          <w:rFonts w:ascii="Calibri" w:hAnsi="Calibri" w:cs="Calibri"/>
          <w:sz w:val="22"/>
          <w:szCs w:val="22"/>
          <w:lang w:val="en-GB"/>
        </w:rPr>
        <w:t xml:space="preserve"> in processes and the establishment of LDGs helped ensure that the solutions were not only relevant but also embraced by local communities. As the project progresses, strengthening local leadership and deepening engagement will be critical to maintaining momentum and ensuring that social cohesion initiatives are sustained over the long term.</w:t>
      </w:r>
      <w:r w:rsidR="00BF6F99">
        <w:rPr>
          <w:rFonts w:ascii="Calibri" w:hAnsi="Calibri" w:cs="Calibri"/>
          <w:sz w:val="22"/>
          <w:szCs w:val="22"/>
          <w:lang w:val="en-GB"/>
        </w:rPr>
        <w:t xml:space="preserve"> </w:t>
      </w:r>
      <w:r w:rsidR="00BF6F99" w:rsidRPr="00BF6F99">
        <w:rPr>
          <w:rFonts w:ascii="Calibri" w:hAnsi="Calibri" w:cs="Calibri"/>
          <w:sz w:val="22"/>
          <w:szCs w:val="22"/>
          <w:lang w:val="en-GB"/>
        </w:rPr>
        <w:t xml:space="preserve">Cross-Institutional Collaboration between key institutional partners, such as the </w:t>
      </w:r>
      <w:r w:rsidR="008E39C0">
        <w:rPr>
          <w:rFonts w:ascii="Calibri" w:hAnsi="Calibri" w:cs="Calibri"/>
          <w:sz w:val="22"/>
          <w:szCs w:val="22"/>
          <w:lang w:val="en-GB"/>
        </w:rPr>
        <w:t xml:space="preserve">BiH </w:t>
      </w:r>
      <w:r w:rsidR="00BF6F99" w:rsidRPr="00BF6F99">
        <w:rPr>
          <w:rFonts w:ascii="Calibri" w:hAnsi="Calibri" w:cs="Calibri"/>
          <w:sz w:val="22"/>
          <w:szCs w:val="22"/>
          <w:lang w:val="en-GB"/>
        </w:rPr>
        <w:t xml:space="preserve">Ministry of </w:t>
      </w:r>
      <w:r w:rsidR="00BF6F99">
        <w:rPr>
          <w:rFonts w:ascii="Calibri" w:hAnsi="Calibri" w:cs="Calibri"/>
          <w:sz w:val="22"/>
          <w:szCs w:val="22"/>
          <w:lang w:val="en-GB"/>
        </w:rPr>
        <w:t xml:space="preserve">Civil </w:t>
      </w:r>
      <w:r w:rsidR="00BF6F99" w:rsidRPr="00EF72CD">
        <w:rPr>
          <w:rFonts w:ascii="Calibri" w:hAnsi="Calibri" w:cs="Calibri"/>
          <w:sz w:val="22"/>
          <w:szCs w:val="22"/>
          <w:lang w:val="en-GB"/>
        </w:rPr>
        <w:t xml:space="preserve">Affairs, LGs, and </w:t>
      </w:r>
      <w:r w:rsidR="00EF72CD" w:rsidRPr="00EF72CD">
        <w:rPr>
          <w:rFonts w:ascii="Calibri" w:hAnsi="Calibri" w:cs="Calibri"/>
          <w:sz w:val="22"/>
          <w:szCs w:val="22"/>
          <w:lang w:val="en-GB"/>
        </w:rPr>
        <w:t>CSOs</w:t>
      </w:r>
      <w:r w:rsidR="00BF6F99" w:rsidRPr="00EF72CD">
        <w:rPr>
          <w:rFonts w:ascii="Calibri" w:hAnsi="Calibri" w:cs="Calibri"/>
          <w:sz w:val="22"/>
          <w:szCs w:val="22"/>
          <w:lang w:val="en-GB"/>
        </w:rPr>
        <w:t>, is vital</w:t>
      </w:r>
      <w:r w:rsidR="00BF6F99" w:rsidRPr="00BF6F99">
        <w:rPr>
          <w:rFonts w:ascii="Calibri" w:hAnsi="Calibri" w:cs="Calibri"/>
          <w:sz w:val="22"/>
          <w:szCs w:val="22"/>
          <w:lang w:val="en-GB"/>
        </w:rPr>
        <w:t xml:space="preserve"> for fostering broad-based support and achieving lasting social change. </w:t>
      </w:r>
    </w:p>
    <w:p w14:paraId="3CB58383" w14:textId="77777777" w:rsidR="00753EF7" w:rsidRPr="00753EF7" w:rsidRDefault="00753EF7" w:rsidP="00600992">
      <w:pPr>
        <w:pStyle w:val="paragraph"/>
        <w:jc w:val="both"/>
        <w:textAlignment w:val="baseline"/>
        <w:rPr>
          <w:rFonts w:ascii="Calibri" w:hAnsi="Calibri" w:cs="Calibri"/>
          <w:sz w:val="22"/>
          <w:szCs w:val="22"/>
          <w:lang w:val="en-GB"/>
        </w:rPr>
      </w:pPr>
    </w:p>
    <w:p w14:paraId="2E2DDCC0" w14:textId="6D46C471" w:rsidR="00753EF7" w:rsidRPr="00753EF7" w:rsidRDefault="007F6530" w:rsidP="00600992">
      <w:pPr>
        <w:pStyle w:val="paragraph"/>
        <w:jc w:val="both"/>
        <w:textAlignment w:val="baseline"/>
        <w:rPr>
          <w:rFonts w:ascii="Calibri" w:hAnsi="Calibri" w:cs="Calibri"/>
          <w:sz w:val="22"/>
          <w:szCs w:val="22"/>
          <w:lang w:val="en-GB"/>
        </w:rPr>
      </w:pPr>
      <w:r>
        <w:rPr>
          <w:rFonts w:ascii="Calibri" w:hAnsi="Calibri" w:cs="Calibri"/>
          <w:sz w:val="22"/>
          <w:szCs w:val="22"/>
          <w:lang w:val="en-GB"/>
        </w:rPr>
        <w:t>3</w:t>
      </w:r>
      <w:r w:rsidR="00753EF7" w:rsidRPr="00753EF7">
        <w:rPr>
          <w:rFonts w:ascii="Calibri" w:hAnsi="Calibri" w:cs="Calibri"/>
          <w:sz w:val="22"/>
          <w:szCs w:val="22"/>
          <w:lang w:val="en-GB"/>
        </w:rPr>
        <w:t xml:space="preserve">. </w:t>
      </w:r>
      <w:r w:rsidR="00753EF7" w:rsidRPr="00BF6F99">
        <w:rPr>
          <w:rFonts w:ascii="Calibri" w:hAnsi="Calibri" w:cs="Calibri"/>
          <w:sz w:val="22"/>
          <w:szCs w:val="22"/>
          <w:u w:val="single"/>
          <w:lang w:val="en-GB"/>
        </w:rPr>
        <w:t xml:space="preserve">Challenges with </w:t>
      </w:r>
      <w:r w:rsidR="00EF72CD">
        <w:rPr>
          <w:rFonts w:ascii="Calibri" w:hAnsi="Calibri" w:cs="Calibri"/>
          <w:sz w:val="22"/>
          <w:szCs w:val="22"/>
          <w:u w:val="single"/>
          <w:lang w:val="en-GB"/>
        </w:rPr>
        <w:t>o</w:t>
      </w:r>
      <w:r w:rsidR="00753EF7" w:rsidRPr="00BF6F99">
        <w:rPr>
          <w:rFonts w:ascii="Calibri" w:hAnsi="Calibri" w:cs="Calibri"/>
          <w:sz w:val="22"/>
          <w:szCs w:val="22"/>
          <w:u w:val="single"/>
          <w:lang w:val="en-GB"/>
        </w:rPr>
        <w:t xml:space="preserve">utdated </w:t>
      </w:r>
      <w:r w:rsidR="00EF72CD">
        <w:rPr>
          <w:rFonts w:ascii="Calibri" w:hAnsi="Calibri" w:cs="Calibri"/>
          <w:sz w:val="22"/>
          <w:szCs w:val="22"/>
          <w:u w:val="single"/>
          <w:lang w:val="en-GB"/>
        </w:rPr>
        <w:t>d</w:t>
      </w:r>
      <w:r w:rsidR="00753EF7" w:rsidRPr="00BF6F99">
        <w:rPr>
          <w:rFonts w:ascii="Calibri" w:hAnsi="Calibri" w:cs="Calibri"/>
          <w:sz w:val="22"/>
          <w:szCs w:val="22"/>
          <w:u w:val="single"/>
          <w:lang w:val="en-GB"/>
        </w:rPr>
        <w:t xml:space="preserve">ata and </w:t>
      </w:r>
      <w:r w:rsidR="00EF72CD">
        <w:rPr>
          <w:rFonts w:ascii="Calibri" w:hAnsi="Calibri" w:cs="Calibri"/>
          <w:sz w:val="22"/>
          <w:szCs w:val="22"/>
          <w:u w:val="single"/>
          <w:lang w:val="en-GB"/>
        </w:rPr>
        <w:t>r</w:t>
      </w:r>
      <w:r w:rsidR="00753EF7" w:rsidRPr="00BF6F99">
        <w:rPr>
          <w:rFonts w:ascii="Calibri" w:hAnsi="Calibri" w:cs="Calibri"/>
          <w:sz w:val="22"/>
          <w:szCs w:val="22"/>
          <w:u w:val="single"/>
          <w:lang w:val="en-GB"/>
        </w:rPr>
        <w:t xml:space="preserve">ecruitment </w:t>
      </w:r>
      <w:r w:rsidR="00332810">
        <w:rPr>
          <w:rFonts w:ascii="Calibri" w:hAnsi="Calibri" w:cs="Calibri"/>
          <w:sz w:val="22"/>
          <w:szCs w:val="22"/>
          <w:u w:val="single"/>
          <w:lang w:val="en-GB"/>
        </w:rPr>
        <w:t>difficulties</w:t>
      </w:r>
      <w:r w:rsidR="00600992">
        <w:rPr>
          <w:rFonts w:ascii="Calibri" w:hAnsi="Calibri" w:cs="Calibri"/>
          <w:sz w:val="22"/>
          <w:szCs w:val="22"/>
          <w:lang w:val="en-GB"/>
        </w:rPr>
        <w:t xml:space="preserve">: </w:t>
      </w:r>
      <w:r w:rsidR="00753EF7" w:rsidRPr="00753EF7">
        <w:rPr>
          <w:rFonts w:ascii="Calibri" w:hAnsi="Calibri" w:cs="Calibri"/>
          <w:sz w:val="22"/>
          <w:szCs w:val="22"/>
          <w:lang w:val="en-GB"/>
        </w:rPr>
        <w:t>The reliance on outdated 2013 census data created challenges in accurately capturing the current demographic landscape, particularly in rural areas and for marginalized groups. These discrepancies made it difficult to target key populations, such as youth, and ensured that the project’s survey processes encountered significant delays. Going forward, the project will need to adopt more current data sources and improve recruitment strategies to ensure more accurate data collection.</w:t>
      </w:r>
    </w:p>
    <w:p w14:paraId="307A849F" w14:textId="77777777" w:rsidR="00753EF7" w:rsidRPr="00753EF7" w:rsidRDefault="00753EF7" w:rsidP="00600992">
      <w:pPr>
        <w:pStyle w:val="paragraph"/>
        <w:jc w:val="both"/>
        <w:textAlignment w:val="baseline"/>
        <w:rPr>
          <w:rFonts w:ascii="Calibri" w:hAnsi="Calibri" w:cs="Calibri"/>
          <w:sz w:val="22"/>
          <w:szCs w:val="22"/>
          <w:lang w:val="en-GB"/>
        </w:rPr>
      </w:pPr>
    </w:p>
    <w:p w14:paraId="27CDC5A6" w14:textId="5B6E2EA9" w:rsidR="00753EF7" w:rsidRPr="00753EF7" w:rsidRDefault="00AF30B3" w:rsidP="00600992">
      <w:pPr>
        <w:pStyle w:val="paragraph"/>
        <w:jc w:val="both"/>
        <w:textAlignment w:val="baseline"/>
        <w:rPr>
          <w:rFonts w:ascii="Calibri" w:hAnsi="Calibri" w:cs="Calibri"/>
          <w:sz w:val="22"/>
          <w:szCs w:val="22"/>
          <w:lang w:val="en-GB"/>
        </w:rPr>
      </w:pPr>
      <w:r>
        <w:rPr>
          <w:rFonts w:ascii="Calibri" w:hAnsi="Calibri" w:cs="Calibri"/>
          <w:sz w:val="22"/>
          <w:szCs w:val="22"/>
          <w:lang w:val="en-GB"/>
        </w:rPr>
        <w:t>4</w:t>
      </w:r>
      <w:r w:rsidR="00753EF7" w:rsidRPr="00753EF7">
        <w:rPr>
          <w:rFonts w:ascii="Calibri" w:hAnsi="Calibri" w:cs="Calibri"/>
          <w:sz w:val="22"/>
          <w:szCs w:val="22"/>
          <w:lang w:val="en-GB"/>
        </w:rPr>
        <w:t xml:space="preserve">. </w:t>
      </w:r>
      <w:r w:rsidR="00753EF7" w:rsidRPr="00BF6F99">
        <w:rPr>
          <w:rFonts w:ascii="Calibri" w:hAnsi="Calibri" w:cs="Calibri"/>
          <w:sz w:val="22"/>
          <w:szCs w:val="22"/>
          <w:u w:val="single"/>
          <w:lang w:val="en-GB"/>
        </w:rPr>
        <w:t xml:space="preserve">Continuous </w:t>
      </w:r>
      <w:r w:rsidR="00C02C94">
        <w:rPr>
          <w:rFonts w:ascii="Calibri" w:hAnsi="Calibri" w:cs="Calibri"/>
          <w:sz w:val="22"/>
          <w:szCs w:val="22"/>
          <w:u w:val="single"/>
          <w:lang w:val="en-GB"/>
        </w:rPr>
        <w:t>f</w:t>
      </w:r>
      <w:r w:rsidR="00753EF7" w:rsidRPr="00BF6F99">
        <w:rPr>
          <w:rFonts w:ascii="Calibri" w:hAnsi="Calibri" w:cs="Calibri"/>
          <w:sz w:val="22"/>
          <w:szCs w:val="22"/>
          <w:u w:val="single"/>
          <w:lang w:val="en-GB"/>
        </w:rPr>
        <w:t xml:space="preserve">eedback and </w:t>
      </w:r>
      <w:r w:rsidR="00C02C94">
        <w:rPr>
          <w:rFonts w:ascii="Calibri" w:hAnsi="Calibri" w:cs="Calibri"/>
          <w:sz w:val="22"/>
          <w:szCs w:val="22"/>
          <w:u w:val="single"/>
          <w:lang w:val="en-GB"/>
        </w:rPr>
        <w:t>c</w:t>
      </w:r>
      <w:r w:rsidR="00753EF7" w:rsidRPr="00BF6F99">
        <w:rPr>
          <w:rFonts w:ascii="Calibri" w:hAnsi="Calibri" w:cs="Calibri"/>
          <w:sz w:val="22"/>
          <w:szCs w:val="22"/>
          <w:u w:val="single"/>
          <w:lang w:val="en-GB"/>
        </w:rPr>
        <w:t>ommunication</w:t>
      </w:r>
      <w:r w:rsidR="00600992">
        <w:rPr>
          <w:rFonts w:ascii="Calibri" w:hAnsi="Calibri" w:cs="Calibri"/>
          <w:sz w:val="22"/>
          <w:szCs w:val="22"/>
          <w:lang w:val="en-GB"/>
        </w:rPr>
        <w:t xml:space="preserve">: </w:t>
      </w:r>
      <w:r w:rsidR="00753EF7" w:rsidRPr="00753EF7">
        <w:rPr>
          <w:rFonts w:ascii="Calibri" w:hAnsi="Calibri" w:cs="Calibri"/>
          <w:sz w:val="22"/>
          <w:szCs w:val="22"/>
          <w:lang w:val="en-GB"/>
        </w:rPr>
        <w:t>Effective communication and feedback mechanisms were critical in building trust within communities. When local governments implemented projects based on community input, it led to increased engagement and positive outcomes. Moving forward, ensuring timely communication of both successes and setbacks, coupled with a strong feedback mechanism, will enhance trust and sustain community involvement in decision-making processes.</w:t>
      </w:r>
    </w:p>
    <w:p w14:paraId="12340A1D" w14:textId="77777777" w:rsidR="00753EF7" w:rsidRPr="00753EF7" w:rsidRDefault="00753EF7" w:rsidP="00C02C94">
      <w:pPr>
        <w:pStyle w:val="paragraph"/>
        <w:jc w:val="both"/>
        <w:textAlignment w:val="baseline"/>
        <w:rPr>
          <w:rFonts w:ascii="Calibri" w:hAnsi="Calibri" w:cs="Calibri"/>
          <w:sz w:val="22"/>
          <w:szCs w:val="22"/>
          <w:lang w:val="en-GB"/>
        </w:rPr>
      </w:pPr>
    </w:p>
    <w:p w14:paraId="41A2B92D" w14:textId="0B9EE4DD" w:rsidR="00767F98" w:rsidRDefault="00753EF7" w:rsidP="00C02C94">
      <w:pPr>
        <w:jc w:val="both"/>
        <w:rPr>
          <w:rFonts w:ascii="Calibri" w:hAnsi="Calibri" w:cs="Calibri"/>
          <w:sz w:val="22"/>
          <w:szCs w:val="22"/>
        </w:rPr>
      </w:pPr>
      <w:r w:rsidRPr="00753EF7">
        <w:rPr>
          <w:rFonts w:ascii="Calibri" w:hAnsi="Calibri" w:cs="Calibri"/>
          <w:sz w:val="22"/>
          <w:szCs w:val="22"/>
        </w:rPr>
        <w:t>These lessons learned have shaped the project’s approach in 20</w:t>
      </w:r>
      <w:r w:rsidR="001A1580">
        <w:rPr>
          <w:rFonts w:ascii="Calibri" w:hAnsi="Calibri" w:cs="Calibri"/>
          <w:sz w:val="22"/>
          <w:szCs w:val="22"/>
        </w:rPr>
        <w:t>2</w:t>
      </w:r>
      <w:r w:rsidRPr="00753EF7">
        <w:rPr>
          <w:rFonts w:ascii="Calibri" w:hAnsi="Calibri" w:cs="Calibri"/>
          <w:sz w:val="22"/>
          <w:szCs w:val="22"/>
        </w:rPr>
        <w:t>5 and will continue to guide future phases of the SCORE Project, ensuring that activities are more adaptable, sustainable, and impactful in addressing the challenges of social cohesion and inclusive governance across Bosnia and Herzegovina.</w:t>
      </w:r>
    </w:p>
    <w:p w14:paraId="0C1890BB" w14:textId="77777777" w:rsidR="00003B2A" w:rsidRPr="008D5441" w:rsidRDefault="00003B2A">
      <w:pPr>
        <w:rPr>
          <w:rFonts w:asciiTheme="minorHAnsi" w:hAnsiTheme="minorHAnsi" w:cstheme="minorHAnsi"/>
          <w:b/>
          <w:bCs/>
          <w:caps/>
          <w:color w:val="FFFFFF" w:themeColor="background1"/>
          <w:kern w:val="32"/>
          <w:sz w:val="22"/>
          <w:szCs w:val="22"/>
        </w:rPr>
      </w:pPr>
    </w:p>
    <w:sectPr w:rsidR="00003B2A" w:rsidRPr="008D5441">
      <w:headerReference w:type="even" r:id="rId16"/>
      <w:headerReference w:type="default" r:id="rId17"/>
      <w:footerReference w:type="even" r:id="rId18"/>
      <w:footerReference w:type="default" r:id="rId19"/>
      <w:headerReference w:type="first" r:id="rId20"/>
      <w:footerReference w:type="first" r:id="rId21"/>
      <w:pgSz w:w="11907" w:h="16840" w:code="9"/>
      <w:pgMar w:top="990" w:right="927" w:bottom="1440" w:left="1080" w:header="720"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37266" w14:textId="77777777" w:rsidR="00870942" w:rsidRDefault="00870942" w:rsidP="005B6422">
      <w:r>
        <w:separator/>
      </w:r>
    </w:p>
  </w:endnote>
  <w:endnote w:type="continuationSeparator" w:id="0">
    <w:p w14:paraId="7CE135DD" w14:textId="77777777" w:rsidR="00870942" w:rsidRDefault="00870942" w:rsidP="005B6422">
      <w:r>
        <w:continuationSeparator/>
      </w:r>
    </w:p>
  </w:endnote>
  <w:endnote w:type="continuationNotice" w:id="1">
    <w:p w14:paraId="2EE93480" w14:textId="77777777" w:rsidR="00870942" w:rsidRDefault="00870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5D7B" w14:textId="77777777" w:rsidR="00945129" w:rsidRDefault="00E342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161D10" w14:textId="77777777" w:rsidR="00945129" w:rsidRDefault="00945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F040" w14:textId="77777777" w:rsidR="00945129" w:rsidRPr="00B10F96" w:rsidRDefault="00E342CA">
    <w:pPr>
      <w:pStyle w:val="Footer"/>
      <w:framePr w:wrap="around" w:vAnchor="text" w:hAnchor="page" w:x="10285" w:y="-11"/>
      <w:rPr>
        <w:rStyle w:val="PageNumber"/>
        <w:rFonts w:asciiTheme="minorHAnsi" w:hAnsiTheme="minorHAnsi" w:cs="Tahoma"/>
        <w:sz w:val="22"/>
        <w:szCs w:val="22"/>
      </w:rPr>
    </w:pPr>
    <w:r w:rsidRPr="00B10F96">
      <w:rPr>
        <w:rStyle w:val="PageNumber"/>
        <w:rFonts w:asciiTheme="minorHAnsi" w:hAnsiTheme="minorHAnsi" w:cs="Tahoma"/>
        <w:sz w:val="22"/>
        <w:szCs w:val="22"/>
      </w:rPr>
      <w:fldChar w:fldCharType="begin"/>
    </w:r>
    <w:r w:rsidRPr="00B10F96">
      <w:rPr>
        <w:rStyle w:val="PageNumber"/>
        <w:rFonts w:asciiTheme="minorHAnsi" w:hAnsiTheme="minorHAnsi" w:cs="Tahoma"/>
        <w:sz w:val="22"/>
        <w:szCs w:val="22"/>
      </w:rPr>
      <w:instrText xml:space="preserve">PAGE  </w:instrText>
    </w:r>
    <w:r w:rsidRPr="00B10F96">
      <w:rPr>
        <w:rStyle w:val="PageNumber"/>
        <w:rFonts w:asciiTheme="minorHAnsi" w:hAnsiTheme="minorHAnsi" w:cs="Tahoma"/>
        <w:sz w:val="22"/>
        <w:szCs w:val="22"/>
      </w:rPr>
      <w:fldChar w:fldCharType="separate"/>
    </w:r>
    <w:r>
      <w:rPr>
        <w:rStyle w:val="PageNumber"/>
        <w:rFonts w:asciiTheme="minorHAnsi" w:hAnsiTheme="minorHAnsi" w:cs="Tahoma"/>
        <w:noProof/>
        <w:sz w:val="22"/>
        <w:szCs w:val="22"/>
      </w:rPr>
      <w:t>12</w:t>
    </w:r>
    <w:r w:rsidRPr="00B10F96">
      <w:rPr>
        <w:rStyle w:val="PageNumber"/>
        <w:rFonts w:asciiTheme="minorHAnsi" w:hAnsiTheme="minorHAnsi" w:cs="Tahoma"/>
        <w:sz w:val="22"/>
        <w:szCs w:val="22"/>
      </w:rPr>
      <w:fldChar w:fldCharType="end"/>
    </w:r>
  </w:p>
  <w:p w14:paraId="34A68285" w14:textId="77777777" w:rsidR="00945129" w:rsidRPr="00261CC3" w:rsidRDefault="00945129">
    <w:pPr>
      <w:pStyle w:val="Footer"/>
      <w:ind w:right="360"/>
      <w:jc w:val="right"/>
      <w:rPr>
        <w:rFonts w:asciiTheme="minorHAns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8618" w14:textId="77777777" w:rsidR="00B94773" w:rsidRDefault="00B94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48676" w14:textId="77777777" w:rsidR="00870942" w:rsidRDefault="00870942" w:rsidP="005B6422">
      <w:r>
        <w:separator/>
      </w:r>
    </w:p>
  </w:footnote>
  <w:footnote w:type="continuationSeparator" w:id="0">
    <w:p w14:paraId="38E8B8DE" w14:textId="77777777" w:rsidR="00870942" w:rsidRDefault="00870942" w:rsidP="005B6422">
      <w:r>
        <w:continuationSeparator/>
      </w:r>
    </w:p>
  </w:footnote>
  <w:footnote w:type="continuationNotice" w:id="1">
    <w:p w14:paraId="18EAD656" w14:textId="77777777" w:rsidR="00870942" w:rsidRDefault="00870942"/>
  </w:footnote>
  <w:footnote w:id="2">
    <w:p w14:paraId="57DA4401" w14:textId="0D973CAD" w:rsidR="00123F2E" w:rsidRPr="002C2804" w:rsidRDefault="00123F2E">
      <w:pPr>
        <w:pStyle w:val="FootnoteText"/>
        <w:rPr>
          <w:sz w:val="16"/>
          <w:szCs w:val="16"/>
          <w:lang w:val="bs-Latn-BA"/>
        </w:rPr>
      </w:pPr>
      <w:r w:rsidRPr="002C2804">
        <w:rPr>
          <w:rStyle w:val="FootnoteReference"/>
          <w:sz w:val="16"/>
          <w:szCs w:val="16"/>
        </w:rPr>
        <w:footnoteRef/>
      </w:r>
      <w:r w:rsidRPr="002C2804">
        <w:rPr>
          <w:sz w:val="16"/>
          <w:szCs w:val="16"/>
        </w:rPr>
        <w:t xml:space="preserve"> </w:t>
      </w:r>
      <w:r w:rsidR="009846B8" w:rsidRPr="002C2804">
        <w:rPr>
          <w:sz w:val="16"/>
          <w:szCs w:val="16"/>
        </w:rPr>
        <w:t>Preliminary finance report is attached to this narrative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D45E" w14:textId="41B83F79" w:rsidR="00B94773" w:rsidRDefault="00B94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E3CB1" w14:textId="5467E623" w:rsidR="00B94773" w:rsidRDefault="00B947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052D2" w14:textId="25F928B5" w:rsidR="00B94773" w:rsidRDefault="00B94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09F"/>
    <w:multiLevelType w:val="hybridMultilevel"/>
    <w:tmpl w:val="6F42C4B6"/>
    <w:lvl w:ilvl="0" w:tplc="141A0009">
      <w:start w:val="1"/>
      <w:numFmt w:val="bullet"/>
      <w:lvlText w:val=""/>
      <w:lvlJc w:val="left"/>
      <w:pPr>
        <w:ind w:left="1080" w:hanging="360"/>
      </w:pPr>
      <w:rPr>
        <w:rFonts w:ascii="Wingdings" w:hAnsi="Wingdings" w:hint="default"/>
      </w:rPr>
    </w:lvl>
    <w:lvl w:ilvl="1" w:tplc="1C1A0003" w:tentative="1">
      <w:start w:val="1"/>
      <w:numFmt w:val="bullet"/>
      <w:lvlText w:val="o"/>
      <w:lvlJc w:val="left"/>
      <w:pPr>
        <w:ind w:left="1800" w:hanging="360"/>
      </w:pPr>
      <w:rPr>
        <w:rFonts w:ascii="Courier New" w:hAnsi="Courier New" w:cs="Courier New" w:hint="default"/>
      </w:rPr>
    </w:lvl>
    <w:lvl w:ilvl="2" w:tplc="1C1A0005" w:tentative="1">
      <w:start w:val="1"/>
      <w:numFmt w:val="bullet"/>
      <w:lvlText w:val=""/>
      <w:lvlJc w:val="left"/>
      <w:pPr>
        <w:ind w:left="2520" w:hanging="360"/>
      </w:pPr>
      <w:rPr>
        <w:rFonts w:ascii="Wingdings" w:hAnsi="Wingdings" w:hint="default"/>
      </w:rPr>
    </w:lvl>
    <w:lvl w:ilvl="3" w:tplc="1C1A0001" w:tentative="1">
      <w:start w:val="1"/>
      <w:numFmt w:val="bullet"/>
      <w:lvlText w:val=""/>
      <w:lvlJc w:val="left"/>
      <w:pPr>
        <w:ind w:left="3240" w:hanging="360"/>
      </w:pPr>
      <w:rPr>
        <w:rFonts w:ascii="Symbol" w:hAnsi="Symbol" w:hint="default"/>
      </w:rPr>
    </w:lvl>
    <w:lvl w:ilvl="4" w:tplc="1C1A0003" w:tentative="1">
      <w:start w:val="1"/>
      <w:numFmt w:val="bullet"/>
      <w:lvlText w:val="o"/>
      <w:lvlJc w:val="left"/>
      <w:pPr>
        <w:ind w:left="3960" w:hanging="360"/>
      </w:pPr>
      <w:rPr>
        <w:rFonts w:ascii="Courier New" w:hAnsi="Courier New" w:cs="Courier New" w:hint="default"/>
      </w:rPr>
    </w:lvl>
    <w:lvl w:ilvl="5" w:tplc="1C1A0005" w:tentative="1">
      <w:start w:val="1"/>
      <w:numFmt w:val="bullet"/>
      <w:lvlText w:val=""/>
      <w:lvlJc w:val="left"/>
      <w:pPr>
        <w:ind w:left="4680" w:hanging="360"/>
      </w:pPr>
      <w:rPr>
        <w:rFonts w:ascii="Wingdings" w:hAnsi="Wingdings" w:hint="default"/>
      </w:rPr>
    </w:lvl>
    <w:lvl w:ilvl="6" w:tplc="1C1A0001" w:tentative="1">
      <w:start w:val="1"/>
      <w:numFmt w:val="bullet"/>
      <w:lvlText w:val=""/>
      <w:lvlJc w:val="left"/>
      <w:pPr>
        <w:ind w:left="5400" w:hanging="360"/>
      </w:pPr>
      <w:rPr>
        <w:rFonts w:ascii="Symbol" w:hAnsi="Symbol" w:hint="default"/>
      </w:rPr>
    </w:lvl>
    <w:lvl w:ilvl="7" w:tplc="1C1A0003" w:tentative="1">
      <w:start w:val="1"/>
      <w:numFmt w:val="bullet"/>
      <w:lvlText w:val="o"/>
      <w:lvlJc w:val="left"/>
      <w:pPr>
        <w:ind w:left="6120" w:hanging="360"/>
      </w:pPr>
      <w:rPr>
        <w:rFonts w:ascii="Courier New" w:hAnsi="Courier New" w:cs="Courier New" w:hint="default"/>
      </w:rPr>
    </w:lvl>
    <w:lvl w:ilvl="8" w:tplc="1C1A0005" w:tentative="1">
      <w:start w:val="1"/>
      <w:numFmt w:val="bullet"/>
      <w:lvlText w:val=""/>
      <w:lvlJc w:val="left"/>
      <w:pPr>
        <w:ind w:left="6840" w:hanging="360"/>
      </w:pPr>
      <w:rPr>
        <w:rFonts w:ascii="Wingdings" w:hAnsi="Wingdings" w:hint="default"/>
      </w:rPr>
    </w:lvl>
  </w:abstractNum>
  <w:abstractNum w:abstractNumId="1" w15:restartNumberingAfterBreak="0">
    <w:nsid w:val="05D315DF"/>
    <w:multiLevelType w:val="hybridMultilevel"/>
    <w:tmpl w:val="66E82A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C61A0"/>
    <w:multiLevelType w:val="hybridMultilevel"/>
    <w:tmpl w:val="24901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557D1"/>
    <w:multiLevelType w:val="hybridMultilevel"/>
    <w:tmpl w:val="3E78CAB6"/>
    <w:lvl w:ilvl="0" w:tplc="C040CF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F6ED8"/>
    <w:multiLevelType w:val="hybridMultilevel"/>
    <w:tmpl w:val="5FA6B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466908"/>
    <w:multiLevelType w:val="hybridMultilevel"/>
    <w:tmpl w:val="6FE2CF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07462"/>
    <w:multiLevelType w:val="hybridMultilevel"/>
    <w:tmpl w:val="3ABA4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EC3782"/>
    <w:multiLevelType w:val="hybridMultilevel"/>
    <w:tmpl w:val="0C14A9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AF67A7"/>
    <w:multiLevelType w:val="hybridMultilevel"/>
    <w:tmpl w:val="8F729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0B3DE4"/>
    <w:multiLevelType w:val="hybridMultilevel"/>
    <w:tmpl w:val="87B80D36"/>
    <w:lvl w:ilvl="0" w:tplc="4BB4A932">
      <w:start w:val="1"/>
      <w:numFmt w:val="decimal"/>
      <w:lvlText w:val="%1."/>
      <w:lvlJc w:val="left"/>
      <w:pPr>
        <w:ind w:left="360" w:hanging="360"/>
      </w:pPr>
      <w:rPr>
        <w:rFonts w:ascii="Calibri" w:eastAsiaTheme="minorEastAsia" w:hAnsi="Calibri" w:cs="Times New Roman"/>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1277A5"/>
    <w:multiLevelType w:val="hybridMultilevel"/>
    <w:tmpl w:val="9EEA1D74"/>
    <w:lvl w:ilvl="0" w:tplc="5D142ACC">
      <w:start w:val="1"/>
      <w:numFmt w:val="upperRoman"/>
      <w:lvlText w:val="%1."/>
      <w:lvlJc w:val="left"/>
      <w:pPr>
        <w:tabs>
          <w:tab w:val="num" w:pos="720"/>
        </w:tabs>
        <w:ind w:left="720" w:hanging="720"/>
      </w:pPr>
      <w:rPr>
        <w:rFonts w:hint="default"/>
        <w:sz w:val="28"/>
        <w:szCs w:val="28"/>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FE72CE"/>
    <w:multiLevelType w:val="hybridMultilevel"/>
    <w:tmpl w:val="251C1440"/>
    <w:lvl w:ilvl="0" w:tplc="29EEED8C">
      <w:start w:val="1"/>
      <w:numFmt w:val="bullet"/>
      <w:lvlText w:val="•"/>
      <w:lvlJc w:val="left"/>
      <w:pPr>
        <w:tabs>
          <w:tab w:val="num" w:pos="720"/>
        </w:tabs>
        <w:ind w:left="720" w:hanging="360"/>
      </w:pPr>
      <w:rPr>
        <w:rFonts w:ascii="Arial" w:hAnsi="Arial" w:hint="default"/>
      </w:rPr>
    </w:lvl>
    <w:lvl w:ilvl="1" w:tplc="B210AF8C" w:tentative="1">
      <w:start w:val="1"/>
      <w:numFmt w:val="bullet"/>
      <w:lvlText w:val="•"/>
      <w:lvlJc w:val="left"/>
      <w:pPr>
        <w:tabs>
          <w:tab w:val="num" w:pos="1440"/>
        </w:tabs>
        <w:ind w:left="1440" w:hanging="360"/>
      </w:pPr>
      <w:rPr>
        <w:rFonts w:ascii="Arial" w:hAnsi="Arial" w:hint="default"/>
      </w:rPr>
    </w:lvl>
    <w:lvl w:ilvl="2" w:tplc="FB7EC7D2" w:tentative="1">
      <w:start w:val="1"/>
      <w:numFmt w:val="bullet"/>
      <w:lvlText w:val="•"/>
      <w:lvlJc w:val="left"/>
      <w:pPr>
        <w:tabs>
          <w:tab w:val="num" w:pos="2160"/>
        </w:tabs>
        <w:ind w:left="2160" w:hanging="360"/>
      </w:pPr>
      <w:rPr>
        <w:rFonts w:ascii="Arial" w:hAnsi="Arial" w:hint="default"/>
      </w:rPr>
    </w:lvl>
    <w:lvl w:ilvl="3" w:tplc="6994C536" w:tentative="1">
      <w:start w:val="1"/>
      <w:numFmt w:val="bullet"/>
      <w:lvlText w:val="•"/>
      <w:lvlJc w:val="left"/>
      <w:pPr>
        <w:tabs>
          <w:tab w:val="num" w:pos="2880"/>
        </w:tabs>
        <w:ind w:left="2880" w:hanging="360"/>
      </w:pPr>
      <w:rPr>
        <w:rFonts w:ascii="Arial" w:hAnsi="Arial" w:hint="default"/>
      </w:rPr>
    </w:lvl>
    <w:lvl w:ilvl="4" w:tplc="621AD7A4" w:tentative="1">
      <w:start w:val="1"/>
      <w:numFmt w:val="bullet"/>
      <w:lvlText w:val="•"/>
      <w:lvlJc w:val="left"/>
      <w:pPr>
        <w:tabs>
          <w:tab w:val="num" w:pos="3600"/>
        </w:tabs>
        <w:ind w:left="3600" w:hanging="360"/>
      </w:pPr>
      <w:rPr>
        <w:rFonts w:ascii="Arial" w:hAnsi="Arial" w:hint="default"/>
      </w:rPr>
    </w:lvl>
    <w:lvl w:ilvl="5" w:tplc="471415E8" w:tentative="1">
      <w:start w:val="1"/>
      <w:numFmt w:val="bullet"/>
      <w:lvlText w:val="•"/>
      <w:lvlJc w:val="left"/>
      <w:pPr>
        <w:tabs>
          <w:tab w:val="num" w:pos="4320"/>
        </w:tabs>
        <w:ind w:left="4320" w:hanging="360"/>
      </w:pPr>
      <w:rPr>
        <w:rFonts w:ascii="Arial" w:hAnsi="Arial" w:hint="default"/>
      </w:rPr>
    </w:lvl>
    <w:lvl w:ilvl="6" w:tplc="BF407C0E" w:tentative="1">
      <w:start w:val="1"/>
      <w:numFmt w:val="bullet"/>
      <w:lvlText w:val="•"/>
      <w:lvlJc w:val="left"/>
      <w:pPr>
        <w:tabs>
          <w:tab w:val="num" w:pos="5040"/>
        </w:tabs>
        <w:ind w:left="5040" w:hanging="360"/>
      </w:pPr>
      <w:rPr>
        <w:rFonts w:ascii="Arial" w:hAnsi="Arial" w:hint="default"/>
      </w:rPr>
    </w:lvl>
    <w:lvl w:ilvl="7" w:tplc="BA56FE04" w:tentative="1">
      <w:start w:val="1"/>
      <w:numFmt w:val="bullet"/>
      <w:lvlText w:val="•"/>
      <w:lvlJc w:val="left"/>
      <w:pPr>
        <w:tabs>
          <w:tab w:val="num" w:pos="5760"/>
        </w:tabs>
        <w:ind w:left="5760" w:hanging="360"/>
      </w:pPr>
      <w:rPr>
        <w:rFonts w:ascii="Arial" w:hAnsi="Arial" w:hint="default"/>
      </w:rPr>
    </w:lvl>
    <w:lvl w:ilvl="8" w:tplc="AD88BA4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4B7B0E"/>
    <w:multiLevelType w:val="hybridMultilevel"/>
    <w:tmpl w:val="4344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34334E"/>
    <w:multiLevelType w:val="hybridMultilevel"/>
    <w:tmpl w:val="9D7ABBE8"/>
    <w:lvl w:ilvl="0" w:tplc="78ACC38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4F4BBD"/>
    <w:multiLevelType w:val="hybridMultilevel"/>
    <w:tmpl w:val="C0923BA2"/>
    <w:lvl w:ilvl="0" w:tplc="23E6BA1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1A0999"/>
    <w:multiLevelType w:val="hybridMultilevel"/>
    <w:tmpl w:val="EA5EA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110E54"/>
    <w:multiLevelType w:val="multilevel"/>
    <w:tmpl w:val="AEB4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BA051C"/>
    <w:multiLevelType w:val="hybridMultilevel"/>
    <w:tmpl w:val="52529522"/>
    <w:lvl w:ilvl="0" w:tplc="C198623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28E8060B"/>
    <w:multiLevelType w:val="hybridMultilevel"/>
    <w:tmpl w:val="79CC2572"/>
    <w:lvl w:ilvl="0" w:tplc="491047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383DDC"/>
    <w:multiLevelType w:val="hybridMultilevel"/>
    <w:tmpl w:val="A22C1CBE"/>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BE15BD"/>
    <w:multiLevelType w:val="hybridMultilevel"/>
    <w:tmpl w:val="6DEC6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20721B"/>
    <w:multiLevelType w:val="hybridMultilevel"/>
    <w:tmpl w:val="B1128770"/>
    <w:lvl w:ilvl="0" w:tplc="7BB4484E">
      <w:start w:val="1"/>
      <w:numFmt w:val="bullet"/>
      <w:lvlText w:val="•"/>
      <w:lvlJc w:val="left"/>
      <w:pPr>
        <w:tabs>
          <w:tab w:val="num" w:pos="720"/>
        </w:tabs>
        <w:ind w:left="720" w:hanging="360"/>
      </w:pPr>
      <w:rPr>
        <w:rFonts w:ascii="Arial" w:hAnsi="Arial" w:hint="default"/>
      </w:rPr>
    </w:lvl>
    <w:lvl w:ilvl="1" w:tplc="3DFC68AA" w:tentative="1">
      <w:start w:val="1"/>
      <w:numFmt w:val="bullet"/>
      <w:lvlText w:val="•"/>
      <w:lvlJc w:val="left"/>
      <w:pPr>
        <w:tabs>
          <w:tab w:val="num" w:pos="1440"/>
        </w:tabs>
        <w:ind w:left="1440" w:hanging="360"/>
      </w:pPr>
      <w:rPr>
        <w:rFonts w:ascii="Arial" w:hAnsi="Arial" w:hint="default"/>
      </w:rPr>
    </w:lvl>
    <w:lvl w:ilvl="2" w:tplc="9E9EB2AA" w:tentative="1">
      <w:start w:val="1"/>
      <w:numFmt w:val="bullet"/>
      <w:lvlText w:val="•"/>
      <w:lvlJc w:val="left"/>
      <w:pPr>
        <w:tabs>
          <w:tab w:val="num" w:pos="2160"/>
        </w:tabs>
        <w:ind w:left="2160" w:hanging="360"/>
      </w:pPr>
      <w:rPr>
        <w:rFonts w:ascii="Arial" w:hAnsi="Arial" w:hint="default"/>
      </w:rPr>
    </w:lvl>
    <w:lvl w:ilvl="3" w:tplc="B6A0CD08" w:tentative="1">
      <w:start w:val="1"/>
      <w:numFmt w:val="bullet"/>
      <w:lvlText w:val="•"/>
      <w:lvlJc w:val="left"/>
      <w:pPr>
        <w:tabs>
          <w:tab w:val="num" w:pos="2880"/>
        </w:tabs>
        <w:ind w:left="2880" w:hanging="360"/>
      </w:pPr>
      <w:rPr>
        <w:rFonts w:ascii="Arial" w:hAnsi="Arial" w:hint="default"/>
      </w:rPr>
    </w:lvl>
    <w:lvl w:ilvl="4" w:tplc="61E27FB6" w:tentative="1">
      <w:start w:val="1"/>
      <w:numFmt w:val="bullet"/>
      <w:lvlText w:val="•"/>
      <w:lvlJc w:val="left"/>
      <w:pPr>
        <w:tabs>
          <w:tab w:val="num" w:pos="3600"/>
        </w:tabs>
        <w:ind w:left="3600" w:hanging="360"/>
      </w:pPr>
      <w:rPr>
        <w:rFonts w:ascii="Arial" w:hAnsi="Arial" w:hint="default"/>
      </w:rPr>
    </w:lvl>
    <w:lvl w:ilvl="5" w:tplc="CD442ABE" w:tentative="1">
      <w:start w:val="1"/>
      <w:numFmt w:val="bullet"/>
      <w:lvlText w:val="•"/>
      <w:lvlJc w:val="left"/>
      <w:pPr>
        <w:tabs>
          <w:tab w:val="num" w:pos="4320"/>
        </w:tabs>
        <w:ind w:left="4320" w:hanging="360"/>
      </w:pPr>
      <w:rPr>
        <w:rFonts w:ascii="Arial" w:hAnsi="Arial" w:hint="default"/>
      </w:rPr>
    </w:lvl>
    <w:lvl w:ilvl="6" w:tplc="2D66FF44" w:tentative="1">
      <w:start w:val="1"/>
      <w:numFmt w:val="bullet"/>
      <w:lvlText w:val="•"/>
      <w:lvlJc w:val="left"/>
      <w:pPr>
        <w:tabs>
          <w:tab w:val="num" w:pos="5040"/>
        </w:tabs>
        <w:ind w:left="5040" w:hanging="360"/>
      </w:pPr>
      <w:rPr>
        <w:rFonts w:ascii="Arial" w:hAnsi="Arial" w:hint="default"/>
      </w:rPr>
    </w:lvl>
    <w:lvl w:ilvl="7" w:tplc="6DDAB61A" w:tentative="1">
      <w:start w:val="1"/>
      <w:numFmt w:val="bullet"/>
      <w:lvlText w:val="•"/>
      <w:lvlJc w:val="left"/>
      <w:pPr>
        <w:tabs>
          <w:tab w:val="num" w:pos="5760"/>
        </w:tabs>
        <w:ind w:left="5760" w:hanging="360"/>
      </w:pPr>
      <w:rPr>
        <w:rFonts w:ascii="Arial" w:hAnsi="Arial" w:hint="default"/>
      </w:rPr>
    </w:lvl>
    <w:lvl w:ilvl="8" w:tplc="B02E53B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64B27E7"/>
    <w:multiLevelType w:val="hybridMultilevel"/>
    <w:tmpl w:val="7568AA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8321C3A"/>
    <w:multiLevelType w:val="hybridMultilevel"/>
    <w:tmpl w:val="4DCCFAC0"/>
    <w:lvl w:ilvl="0" w:tplc="D7D6ACE6">
      <w:start w:val="1"/>
      <w:numFmt w:val="decimal"/>
      <w:lvlText w:val="%1."/>
      <w:lvlJc w:val="left"/>
      <w:pPr>
        <w:ind w:left="360" w:hanging="360"/>
      </w:pPr>
      <w:rPr>
        <w:rFonts w:ascii="Calibri" w:eastAsiaTheme="minorEastAsia"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852885"/>
    <w:multiLevelType w:val="hybridMultilevel"/>
    <w:tmpl w:val="77766B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897DDC"/>
    <w:multiLevelType w:val="hybridMultilevel"/>
    <w:tmpl w:val="0E9841A8"/>
    <w:lvl w:ilvl="0" w:tplc="F9EA2A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7854C1"/>
    <w:multiLevelType w:val="hybridMultilevel"/>
    <w:tmpl w:val="29CCE4F6"/>
    <w:lvl w:ilvl="0" w:tplc="3DAC838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6230009"/>
    <w:multiLevelType w:val="hybridMultilevel"/>
    <w:tmpl w:val="0D3028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3354C2"/>
    <w:multiLevelType w:val="hybridMultilevel"/>
    <w:tmpl w:val="DC288B94"/>
    <w:lvl w:ilvl="0" w:tplc="0CE4EE44">
      <w:start w:val="1"/>
      <w:numFmt w:val="lowerLetter"/>
      <w:lvlText w:val="%1.)"/>
      <w:lvlJc w:val="left"/>
      <w:pPr>
        <w:ind w:left="720" w:hanging="360"/>
      </w:pPr>
      <w:rPr>
        <w:rFonts w:hint="default"/>
        <w:b/>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6002FF"/>
    <w:multiLevelType w:val="hybridMultilevel"/>
    <w:tmpl w:val="3A7E6112"/>
    <w:lvl w:ilvl="0" w:tplc="60E22152">
      <w:start w:val="1"/>
      <w:numFmt w:val="bullet"/>
      <w:lvlText w:val=""/>
      <w:lvlJc w:val="left"/>
      <w:pPr>
        <w:tabs>
          <w:tab w:val="num" w:pos="720"/>
        </w:tabs>
        <w:ind w:left="720" w:hanging="360"/>
      </w:pPr>
      <w:rPr>
        <w:rFonts w:ascii="Wingdings" w:hAnsi="Wingdings" w:hint="default"/>
      </w:rPr>
    </w:lvl>
    <w:lvl w:ilvl="1" w:tplc="A346541E" w:tentative="1">
      <w:start w:val="1"/>
      <w:numFmt w:val="bullet"/>
      <w:lvlText w:val=""/>
      <w:lvlJc w:val="left"/>
      <w:pPr>
        <w:tabs>
          <w:tab w:val="num" w:pos="1440"/>
        </w:tabs>
        <w:ind w:left="1440" w:hanging="360"/>
      </w:pPr>
      <w:rPr>
        <w:rFonts w:ascii="Wingdings" w:hAnsi="Wingdings" w:hint="default"/>
      </w:rPr>
    </w:lvl>
    <w:lvl w:ilvl="2" w:tplc="9C8A06E8" w:tentative="1">
      <w:start w:val="1"/>
      <w:numFmt w:val="bullet"/>
      <w:lvlText w:val=""/>
      <w:lvlJc w:val="left"/>
      <w:pPr>
        <w:tabs>
          <w:tab w:val="num" w:pos="2160"/>
        </w:tabs>
        <w:ind w:left="2160" w:hanging="360"/>
      </w:pPr>
      <w:rPr>
        <w:rFonts w:ascii="Wingdings" w:hAnsi="Wingdings" w:hint="default"/>
      </w:rPr>
    </w:lvl>
    <w:lvl w:ilvl="3" w:tplc="5B28AB54" w:tentative="1">
      <w:start w:val="1"/>
      <w:numFmt w:val="bullet"/>
      <w:lvlText w:val=""/>
      <w:lvlJc w:val="left"/>
      <w:pPr>
        <w:tabs>
          <w:tab w:val="num" w:pos="2880"/>
        </w:tabs>
        <w:ind w:left="2880" w:hanging="360"/>
      </w:pPr>
      <w:rPr>
        <w:rFonts w:ascii="Wingdings" w:hAnsi="Wingdings" w:hint="default"/>
      </w:rPr>
    </w:lvl>
    <w:lvl w:ilvl="4" w:tplc="57E8BEE2" w:tentative="1">
      <w:start w:val="1"/>
      <w:numFmt w:val="bullet"/>
      <w:lvlText w:val=""/>
      <w:lvlJc w:val="left"/>
      <w:pPr>
        <w:tabs>
          <w:tab w:val="num" w:pos="3600"/>
        </w:tabs>
        <w:ind w:left="3600" w:hanging="360"/>
      </w:pPr>
      <w:rPr>
        <w:rFonts w:ascii="Wingdings" w:hAnsi="Wingdings" w:hint="default"/>
      </w:rPr>
    </w:lvl>
    <w:lvl w:ilvl="5" w:tplc="56488CD4" w:tentative="1">
      <w:start w:val="1"/>
      <w:numFmt w:val="bullet"/>
      <w:lvlText w:val=""/>
      <w:lvlJc w:val="left"/>
      <w:pPr>
        <w:tabs>
          <w:tab w:val="num" w:pos="4320"/>
        </w:tabs>
        <w:ind w:left="4320" w:hanging="360"/>
      </w:pPr>
      <w:rPr>
        <w:rFonts w:ascii="Wingdings" w:hAnsi="Wingdings" w:hint="default"/>
      </w:rPr>
    </w:lvl>
    <w:lvl w:ilvl="6" w:tplc="15BE92CC" w:tentative="1">
      <w:start w:val="1"/>
      <w:numFmt w:val="bullet"/>
      <w:lvlText w:val=""/>
      <w:lvlJc w:val="left"/>
      <w:pPr>
        <w:tabs>
          <w:tab w:val="num" w:pos="5040"/>
        </w:tabs>
        <w:ind w:left="5040" w:hanging="360"/>
      </w:pPr>
      <w:rPr>
        <w:rFonts w:ascii="Wingdings" w:hAnsi="Wingdings" w:hint="default"/>
      </w:rPr>
    </w:lvl>
    <w:lvl w:ilvl="7" w:tplc="2B2A576C" w:tentative="1">
      <w:start w:val="1"/>
      <w:numFmt w:val="bullet"/>
      <w:lvlText w:val=""/>
      <w:lvlJc w:val="left"/>
      <w:pPr>
        <w:tabs>
          <w:tab w:val="num" w:pos="5760"/>
        </w:tabs>
        <w:ind w:left="5760" w:hanging="360"/>
      </w:pPr>
      <w:rPr>
        <w:rFonts w:ascii="Wingdings" w:hAnsi="Wingdings" w:hint="default"/>
      </w:rPr>
    </w:lvl>
    <w:lvl w:ilvl="8" w:tplc="2BCC7FC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536FF2"/>
    <w:multiLevelType w:val="hybridMultilevel"/>
    <w:tmpl w:val="6A8C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0E7720"/>
    <w:multiLevelType w:val="hybridMultilevel"/>
    <w:tmpl w:val="9BAA49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8258EA"/>
    <w:multiLevelType w:val="hybridMultilevel"/>
    <w:tmpl w:val="B1687394"/>
    <w:lvl w:ilvl="0" w:tplc="4E0EF140">
      <w:start w:val="1"/>
      <w:numFmt w:val="bullet"/>
      <w:lvlText w:val="•"/>
      <w:lvlJc w:val="left"/>
      <w:pPr>
        <w:tabs>
          <w:tab w:val="num" w:pos="720"/>
        </w:tabs>
        <w:ind w:left="720" w:hanging="360"/>
      </w:pPr>
      <w:rPr>
        <w:rFonts w:ascii="Arial" w:hAnsi="Arial" w:hint="default"/>
      </w:rPr>
    </w:lvl>
    <w:lvl w:ilvl="1" w:tplc="EBA22CD4" w:tentative="1">
      <w:start w:val="1"/>
      <w:numFmt w:val="bullet"/>
      <w:lvlText w:val="•"/>
      <w:lvlJc w:val="left"/>
      <w:pPr>
        <w:tabs>
          <w:tab w:val="num" w:pos="1440"/>
        </w:tabs>
        <w:ind w:left="1440" w:hanging="360"/>
      </w:pPr>
      <w:rPr>
        <w:rFonts w:ascii="Arial" w:hAnsi="Arial" w:hint="default"/>
      </w:rPr>
    </w:lvl>
    <w:lvl w:ilvl="2" w:tplc="354604C0" w:tentative="1">
      <w:start w:val="1"/>
      <w:numFmt w:val="bullet"/>
      <w:lvlText w:val="•"/>
      <w:lvlJc w:val="left"/>
      <w:pPr>
        <w:tabs>
          <w:tab w:val="num" w:pos="2160"/>
        </w:tabs>
        <w:ind w:left="2160" w:hanging="360"/>
      </w:pPr>
      <w:rPr>
        <w:rFonts w:ascii="Arial" w:hAnsi="Arial" w:hint="default"/>
      </w:rPr>
    </w:lvl>
    <w:lvl w:ilvl="3" w:tplc="81700FA4" w:tentative="1">
      <w:start w:val="1"/>
      <w:numFmt w:val="bullet"/>
      <w:lvlText w:val="•"/>
      <w:lvlJc w:val="left"/>
      <w:pPr>
        <w:tabs>
          <w:tab w:val="num" w:pos="2880"/>
        </w:tabs>
        <w:ind w:left="2880" w:hanging="360"/>
      </w:pPr>
      <w:rPr>
        <w:rFonts w:ascii="Arial" w:hAnsi="Arial" w:hint="default"/>
      </w:rPr>
    </w:lvl>
    <w:lvl w:ilvl="4" w:tplc="87EE34C0" w:tentative="1">
      <w:start w:val="1"/>
      <w:numFmt w:val="bullet"/>
      <w:lvlText w:val="•"/>
      <w:lvlJc w:val="left"/>
      <w:pPr>
        <w:tabs>
          <w:tab w:val="num" w:pos="3600"/>
        </w:tabs>
        <w:ind w:left="3600" w:hanging="360"/>
      </w:pPr>
      <w:rPr>
        <w:rFonts w:ascii="Arial" w:hAnsi="Arial" w:hint="default"/>
      </w:rPr>
    </w:lvl>
    <w:lvl w:ilvl="5" w:tplc="F73665CA" w:tentative="1">
      <w:start w:val="1"/>
      <w:numFmt w:val="bullet"/>
      <w:lvlText w:val="•"/>
      <w:lvlJc w:val="left"/>
      <w:pPr>
        <w:tabs>
          <w:tab w:val="num" w:pos="4320"/>
        </w:tabs>
        <w:ind w:left="4320" w:hanging="360"/>
      </w:pPr>
      <w:rPr>
        <w:rFonts w:ascii="Arial" w:hAnsi="Arial" w:hint="default"/>
      </w:rPr>
    </w:lvl>
    <w:lvl w:ilvl="6" w:tplc="5FBE6620" w:tentative="1">
      <w:start w:val="1"/>
      <w:numFmt w:val="bullet"/>
      <w:lvlText w:val="•"/>
      <w:lvlJc w:val="left"/>
      <w:pPr>
        <w:tabs>
          <w:tab w:val="num" w:pos="5040"/>
        </w:tabs>
        <w:ind w:left="5040" w:hanging="360"/>
      </w:pPr>
      <w:rPr>
        <w:rFonts w:ascii="Arial" w:hAnsi="Arial" w:hint="default"/>
      </w:rPr>
    </w:lvl>
    <w:lvl w:ilvl="7" w:tplc="447EE4E2" w:tentative="1">
      <w:start w:val="1"/>
      <w:numFmt w:val="bullet"/>
      <w:lvlText w:val="•"/>
      <w:lvlJc w:val="left"/>
      <w:pPr>
        <w:tabs>
          <w:tab w:val="num" w:pos="5760"/>
        </w:tabs>
        <w:ind w:left="5760" w:hanging="360"/>
      </w:pPr>
      <w:rPr>
        <w:rFonts w:ascii="Arial" w:hAnsi="Arial" w:hint="default"/>
      </w:rPr>
    </w:lvl>
    <w:lvl w:ilvl="8" w:tplc="2F62438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89E14E2"/>
    <w:multiLevelType w:val="hybridMultilevel"/>
    <w:tmpl w:val="D028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981DA4"/>
    <w:multiLevelType w:val="hybridMultilevel"/>
    <w:tmpl w:val="478413F8"/>
    <w:lvl w:ilvl="0" w:tplc="796CAA06">
      <w:start w:val="1"/>
      <w:numFmt w:val="decimal"/>
      <w:pStyle w:val="Annex"/>
      <w:lvlText w:val="Annex %1."/>
      <w:lvlJc w:val="left"/>
      <w:pPr>
        <w:ind w:left="72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4AD47180"/>
    <w:multiLevelType w:val="hybridMultilevel"/>
    <w:tmpl w:val="3954D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26127F5"/>
    <w:multiLevelType w:val="hybridMultilevel"/>
    <w:tmpl w:val="1AF46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5745F2"/>
    <w:multiLevelType w:val="hybridMultilevel"/>
    <w:tmpl w:val="4BB48F22"/>
    <w:lvl w:ilvl="0" w:tplc="99887350">
      <w:start w:val="1"/>
      <w:numFmt w:val="bullet"/>
      <w:lvlText w:val="•"/>
      <w:lvlJc w:val="left"/>
      <w:pPr>
        <w:tabs>
          <w:tab w:val="num" w:pos="720"/>
        </w:tabs>
        <w:ind w:left="720" w:hanging="360"/>
      </w:pPr>
      <w:rPr>
        <w:rFonts w:ascii="Arial" w:hAnsi="Arial" w:hint="default"/>
      </w:rPr>
    </w:lvl>
    <w:lvl w:ilvl="1" w:tplc="5BE26D8A" w:tentative="1">
      <w:start w:val="1"/>
      <w:numFmt w:val="bullet"/>
      <w:lvlText w:val="•"/>
      <w:lvlJc w:val="left"/>
      <w:pPr>
        <w:tabs>
          <w:tab w:val="num" w:pos="1440"/>
        </w:tabs>
        <w:ind w:left="1440" w:hanging="360"/>
      </w:pPr>
      <w:rPr>
        <w:rFonts w:ascii="Arial" w:hAnsi="Arial" w:hint="default"/>
      </w:rPr>
    </w:lvl>
    <w:lvl w:ilvl="2" w:tplc="CF06966E" w:tentative="1">
      <w:start w:val="1"/>
      <w:numFmt w:val="bullet"/>
      <w:lvlText w:val="•"/>
      <w:lvlJc w:val="left"/>
      <w:pPr>
        <w:tabs>
          <w:tab w:val="num" w:pos="2160"/>
        </w:tabs>
        <w:ind w:left="2160" w:hanging="360"/>
      </w:pPr>
      <w:rPr>
        <w:rFonts w:ascii="Arial" w:hAnsi="Arial" w:hint="default"/>
      </w:rPr>
    </w:lvl>
    <w:lvl w:ilvl="3" w:tplc="8B884996" w:tentative="1">
      <w:start w:val="1"/>
      <w:numFmt w:val="bullet"/>
      <w:lvlText w:val="•"/>
      <w:lvlJc w:val="left"/>
      <w:pPr>
        <w:tabs>
          <w:tab w:val="num" w:pos="2880"/>
        </w:tabs>
        <w:ind w:left="2880" w:hanging="360"/>
      </w:pPr>
      <w:rPr>
        <w:rFonts w:ascii="Arial" w:hAnsi="Arial" w:hint="default"/>
      </w:rPr>
    </w:lvl>
    <w:lvl w:ilvl="4" w:tplc="7988DB4C" w:tentative="1">
      <w:start w:val="1"/>
      <w:numFmt w:val="bullet"/>
      <w:lvlText w:val="•"/>
      <w:lvlJc w:val="left"/>
      <w:pPr>
        <w:tabs>
          <w:tab w:val="num" w:pos="3600"/>
        </w:tabs>
        <w:ind w:left="3600" w:hanging="360"/>
      </w:pPr>
      <w:rPr>
        <w:rFonts w:ascii="Arial" w:hAnsi="Arial" w:hint="default"/>
      </w:rPr>
    </w:lvl>
    <w:lvl w:ilvl="5" w:tplc="ABE62C78" w:tentative="1">
      <w:start w:val="1"/>
      <w:numFmt w:val="bullet"/>
      <w:lvlText w:val="•"/>
      <w:lvlJc w:val="left"/>
      <w:pPr>
        <w:tabs>
          <w:tab w:val="num" w:pos="4320"/>
        </w:tabs>
        <w:ind w:left="4320" w:hanging="360"/>
      </w:pPr>
      <w:rPr>
        <w:rFonts w:ascii="Arial" w:hAnsi="Arial" w:hint="default"/>
      </w:rPr>
    </w:lvl>
    <w:lvl w:ilvl="6" w:tplc="4DD8EFFE" w:tentative="1">
      <w:start w:val="1"/>
      <w:numFmt w:val="bullet"/>
      <w:lvlText w:val="•"/>
      <w:lvlJc w:val="left"/>
      <w:pPr>
        <w:tabs>
          <w:tab w:val="num" w:pos="5040"/>
        </w:tabs>
        <w:ind w:left="5040" w:hanging="360"/>
      </w:pPr>
      <w:rPr>
        <w:rFonts w:ascii="Arial" w:hAnsi="Arial" w:hint="default"/>
      </w:rPr>
    </w:lvl>
    <w:lvl w:ilvl="7" w:tplc="90847B9A" w:tentative="1">
      <w:start w:val="1"/>
      <w:numFmt w:val="bullet"/>
      <w:lvlText w:val="•"/>
      <w:lvlJc w:val="left"/>
      <w:pPr>
        <w:tabs>
          <w:tab w:val="num" w:pos="5760"/>
        </w:tabs>
        <w:ind w:left="5760" w:hanging="360"/>
      </w:pPr>
      <w:rPr>
        <w:rFonts w:ascii="Arial" w:hAnsi="Arial" w:hint="default"/>
      </w:rPr>
    </w:lvl>
    <w:lvl w:ilvl="8" w:tplc="221026D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7D00CB8"/>
    <w:multiLevelType w:val="hybridMultilevel"/>
    <w:tmpl w:val="80A021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814F3F"/>
    <w:multiLevelType w:val="hybridMultilevel"/>
    <w:tmpl w:val="DDA6BA7A"/>
    <w:lvl w:ilvl="0" w:tplc="BA04D46C">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996855"/>
    <w:multiLevelType w:val="hybridMultilevel"/>
    <w:tmpl w:val="7F16EBFA"/>
    <w:lvl w:ilvl="0" w:tplc="E92495C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715661"/>
    <w:multiLevelType w:val="hybridMultilevel"/>
    <w:tmpl w:val="17ECFDC2"/>
    <w:lvl w:ilvl="0" w:tplc="C9C8968E">
      <w:start w:val="1"/>
      <w:numFmt w:val="bullet"/>
      <w:lvlText w:val="•"/>
      <w:lvlJc w:val="left"/>
      <w:pPr>
        <w:tabs>
          <w:tab w:val="num" w:pos="720"/>
        </w:tabs>
        <w:ind w:left="720" w:hanging="360"/>
      </w:pPr>
      <w:rPr>
        <w:rFonts w:ascii="Arial" w:hAnsi="Arial" w:hint="default"/>
      </w:rPr>
    </w:lvl>
    <w:lvl w:ilvl="1" w:tplc="429E0A08" w:tentative="1">
      <w:start w:val="1"/>
      <w:numFmt w:val="bullet"/>
      <w:lvlText w:val="•"/>
      <w:lvlJc w:val="left"/>
      <w:pPr>
        <w:tabs>
          <w:tab w:val="num" w:pos="1440"/>
        </w:tabs>
        <w:ind w:left="1440" w:hanging="360"/>
      </w:pPr>
      <w:rPr>
        <w:rFonts w:ascii="Arial" w:hAnsi="Arial" w:hint="default"/>
      </w:rPr>
    </w:lvl>
    <w:lvl w:ilvl="2" w:tplc="2B944C44" w:tentative="1">
      <w:start w:val="1"/>
      <w:numFmt w:val="bullet"/>
      <w:lvlText w:val="•"/>
      <w:lvlJc w:val="left"/>
      <w:pPr>
        <w:tabs>
          <w:tab w:val="num" w:pos="2160"/>
        </w:tabs>
        <w:ind w:left="2160" w:hanging="360"/>
      </w:pPr>
      <w:rPr>
        <w:rFonts w:ascii="Arial" w:hAnsi="Arial" w:hint="default"/>
      </w:rPr>
    </w:lvl>
    <w:lvl w:ilvl="3" w:tplc="5BF66612" w:tentative="1">
      <w:start w:val="1"/>
      <w:numFmt w:val="bullet"/>
      <w:lvlText w:val="•"/>
      <w:lvlJc w:val="left"/>
      <w:pPr>
        <w:tabs>
          <w:tab w:val="num" w:pos="2880"/>
        </w:tabs>
        <w:ind w:left="2880" w:hanging="360"/>
      </w:pPr>
      <w:rPr>
        <w:rFonts w:ascii="Arial" w:hAnsi="Arial" w:hint="default"/>
      </w:rPr>
    </w:lvl>
    <w:lvl w:ilvl="4" w:tplc="292A74D8" w:tentative="1">
      <w:start w:val="1"/>
      <w:numFmt w:val="bullet"/>
      <w:lvlText w:val="•"/>
      <w:lvlJc w:val="left"/>
      <w:pPr>
        <w:tabs>
          <w:tab w:val="num" w:pos="3600"/>
        </w:tabs>
        <w:ind w:left="3600" w:hanging="360"/>
      </w:pPr>
      <w:rPr>
        <w:rFonts w:ascii="Arial" w:hAnsi="Arial" w:hint="default"/>
      </w:rPr>
    </w:lvl>
    <w:lvl w:ilvl="5" w:tplc="EA74E698" w:tentative="1">
      <w:start w:val="1"/>
      <w:numFmt w:val="bullet"/>
      <w:lvlText w:val="•"/>
      <w:lvlJc w:val="left"/>
      <w:pPr>
        <w:tabs>
          <w:tab w:val="num" w:pos="4320"/>
        </w:tabs>
        <w:ind w:left="4320" w:hanging="360"/>
      </w:pPr>
      <w:rPr>
        <w:rFonts w:ascii="Arial" w:hAnsi="Arial" w:hint="default"/>
      </w:rPr>
    </w:lvl>
    <w:lvl w:ilvl="6" w:tplc="017ADF7A" w:tentative="1">
      <w:start w:val="1"/>
      <w:numFmt w:val="bullet"/>
      <w:lvlText w:val="•"/>
      <w:lvlJc w:val="left"/>
      <w:pPr>
        <w:tabs>
          <w:tab w:val="num" w:pos="5040"/>
        </w:tabs>
        <w:ind w:left="5040" w:hanging="360"/>
      </w:pPr>
      <w:rPr>
        <w:rFonts w:ascii="Arial" w:hAnsi="Arial" w:hint="default"/>
      </w:rPr>
    </w:lvl>
    <w:lvl w:ilvl="7" w:tplc="E6947B9E" w:tentative="1">
      <w:start w:val="1"/>
      <w:numFmt w:val="bullet"/>
      <w:lvlText w:val="•"/>
      <w:lvlJc w:val="left"/>
      <w:pPr>
        <w:tabs>
          <w:tab w:val="num" w:pos="5760"/>
        </w:tabs>
        <w:ind w:left="5760" w:hanging="360"/>
      </w:pPr>
      <w:rPr>
        <w:rFonts w:ascii="Arial" w:hAnsi="Arial" w:hint="default"/>
      </w:rPr>
    </w:lvl>
    <w:lvl w:ilvl="8" w:tplc="F224F55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7E74353"/>
    <w:multiLevelType w:val="hybridMultilevel"/>
    <w:tmpl w:val="241A4C80"/>
    <w:lvl w:ilvl="0" w:tplc="C0785F2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05D66C6"/>
    <w:multiLevelType w:val="hybridMultilevel"/>
    <w:tmpl w:val="18666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760FEF"/>
    <w:multiLevelType w:val="hybridMultilevel"/>
    <w:tmpl w:val="0D34FA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934E53"/>
    <w:multiLevelType w:val="hybridMultilevel"/>
    <w:tmpl w:val="31CC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7A2E68"/>
    <w:multiLevelType w:val="multilevel"/>
    <w:tmpl w:val="FED4A3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CF7BCF"/>
    <w:multiLevelType w:val="hybridMultilevel"/>
    <w:tmpl w:val="84DEACB8"/>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74951687">
    <w:abstractNumId w:val="34"/>
  </w:num>
  <w:num w:numId="2" w16cid:durableId="1996060883">
    <w:abstractNumId w:val="28"/>
  </w:num>
  <w:num w:numId="3" w16cid:durableId="422066630">
    <w:abstractNumId w:val="38"/>
  </w:num>
  <w:num w:numId="4" w16cid:durableId="706878990">
    <w:abstractNumId w:val="35"/>
  </w:num>
  <w:num w:numId="5" w16cid:durableId="614947431">
    <w:abstractNumId w:val="8"/>
  </w:num>
  <w:num w:numId="6" w16cid:durableId="1952738374">
    <w:abstractNumId w:val="44"/>
  </w:num>
  <w:num w:numId="7" w16cid:durableId="356784497">
    <w:abstractNumId w:val="30"/>
  </w:num>
  <w:num w:numId="8" w16cid:durableId="663584292">
    <w:abstractNumId w:val="9"/>
  </w:num>
  <w:num w:numId="9" w16cid:durableId="78792714">
    <w:abstractNumId w:val="47"/>
  </w:num>
  <w:num w:numId="10" w16cid:durableId="1708798303">
    <w:abstractNumId w:val="23"/>
  </w:num>
  <w:num w:numId="11" w16cid:durableId="9267664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6678215">
    <w:abstractNumId w:val="27"/>
  </w:num>
  <w:num w:numId="13" w16cid:durableId="1829324014">
    <w:abstractNumId w:val="42"/>
  </w:num>
  <w:num w:numId="14" w16cid:durableId="725490300">
    <w:abstractNumId w:val="19"/>
  </w:num>
  <w:num w:numId="15" w16cid:durableId="12031353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6196334">
    <w:abstractNumId w:val="10"/>
  </w:num>
  <w:num w:numId="17" w16cid:durableId="937448322">
    <w:abstractNumId w:val="10"/>
    <w:lvlOverride w:ilvl="0">
      <w:startOverride w:val="1"/>
    </w:lvlOverride>
  </w:num>
  <w:num w:numId="18" w16cid:durableId="1645307556">
    <w:abstractNumId w:val="26"/>
  </w:num>
  <w:num w:numId="19" w16cid:durableId="1986079440">
    <w:abstractNumId w:val="2"/>
  </w:num>
  <w:num w:numId="20" w16cid:durableId="417946517">
    <w:abstractNumId w:val="1"/>
  </w:num>
  <w:num w:numId="21" w16cid:durableId="558784037">
    <w:abstractNumId w:val="13"/>
  </w:num>
  <w:num w:numId="22" w16cid:durableId="251744082">
    <w:abstractNumId w:val="36"/>
  </w:num>
  <w:num w:numId="23" w16cid:durableId="966279183">
    <w:abstractNumId w:val="14"/>
  </w:num>
  <w:num w:numId="24" w16cid:durableId="1218202822">
    <w:abstractNumId w:val="11"/>
  </w:num>
  <w:num w:numId="25" w16cid:durableId="2057773386">
    <w:abstractNumId w:val="32"/>
  </w:num>
  <w:num w:numId="26" w16cid:durableId="968239857">
    <w:abstractNumId w:val="41"/>
  </w:num>
  <w:num w:numId="27" w16cid:durableId="332337471">
    <w:abstractNumId w:val="29"/>
  </w:num>
  <w:num w:numId="28" w16cid:durableId="1640766740">
    <w:abstractNumId w:val="21"/>
  </w:num>
  <w:num w:numId="29" w16cid:durableId="1178733660">
    <w:abstractNumId w:val="37"/>
  </w:num>
  <w:num w:numId="30" w16cid:durableId="1355158088">
    <w:abstractNumId w:val="4"/>
  </w:num>
  <w:num w:numId="31" w16cid:durableId="2101483717">
    <w:abstractNumId w:val="39"/>
  </w:num>
  <w:num w:numId="32" w16cid:durableId="1978802464">
    <w:abstractNumId w:val="45"/>
  </w:num>
  <w:num w:numId="33" w16cid:durableId="1935017659">
    <w:abstractNumId w:val="24"/>
  </w:num>
  <w:num w:numId="34" w16cid:durableId="1423914049">
    <w:abstractNumId w:val="33"/>
  </w:num>
  <w:num w:numId="35" w16cid:durableId="1751152544">
    <w:abstractNumId w:val="46"/>
  </w:num>
  <w:num w:numId="36" w16cid:durableId="316883551">
    <w:abstractNumId w:val="3"/>
  </w:num>
  <w:num w:numId="37" w16cid:durableId="1977710853">
    <w:abstractNumId w:val="40"/>
  </w:num>
  <w:num w:numId="38" w16cid:durableId="147676096">
    <w:abstractNumId w:val="0"/>
  </w:num>
  <w:num w:numId="39" w16cid:durableId="713772709">
    <w:abstractNumId w:val="18"/>
  </w:num>
  <w:num w:numId="40" w16cid:durableId="1146708014">
    <w:abstractNumId w:val="7"/>
  </w:num>
  <w:num w:numId="41" w16cid:durableId="203640840">
    <w:abstractNumId w:val="16"/>
  </w:num>
  <w:num w:numId="42" w16cid:durableId="393703185">
    <w:abstractNumId w:val="43"/>
  </w:num>
  <w:num w:numId="43" w16cid:durableId="562571637">
    <w:abstractNumId w:val="25"/>
  </w:num>
  <w:num w:numId="44" w16cid:durableId="377364343">
    <w:abstractNumId w:val="12"/>
  </w:num>
  <w:num w:numId="45" w16cid:durableId="1657031061">
    <w:abstractNumId w:val="31"/>
  </w:num>
  <w:num w:numId="46" w16cid:durableId="695883966">
    <w:abstractNumId w:val="15"/>
  </w:num>
  <w:num w:numId="47" w16cid:durableId="198324617">
    <w:abstractNumId w:val="5"/>
  </w:num>
  <w:num w:numId="48" w16cid:durableId="1197350293">
    <w:abstractNumId w:val="6"/>
  </w:num>
  <w:num w:numId="49" w16cid:durableId="9801113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422"/>
    <w:rsid w:val="000014E9"/>
    <w:rsid w:val="000015A0"/>
    <w:rsid w:val="00001FE9"/>
    <w:rsid w:val="0000236D"/>
    <w:rsid w:val="00002D48"/>
    <w:rsid w:val="000037B8"/>
    <w:rsid w:val="00003B2A"/>
    <w:rsid w:val="000041F5"/>
    <w:rsid w:val="00004485"/>
    <w:rsid w:val="00004B27"/>
    <w:rsid w:val="00004EC8"/>
    <w:rsid w:val="00005150"/>
    <w:rsid w:val="0000540E"/>
    <w:rsid w:val="00005666"/>
    <w:rsid w:val="0000740D"/>
    <w:rsid w:val="00007D4F"/>
    <w:rsid w:val="000108DE"/>
    <w:rsid w:val="00010C21"/>
    <w:rsid w:val="00011037"/>
    <w:rsid w:val="000112A0"/>
    <w:rsid w:val="00011305"/>
    <w:rsid w:val="0001158C"/>
    <w:rsid w:val="000116E1"/>
    <w:rsid w:val="0001307A"/>
    <w:rsid w:val="000139BC"/>
    <w:rsid w:val="00014373"/>
    <w:rsid w:val="000148A4"/>
    <w:rsid w:val="0001797E"/>
    <w:rsid w:val="00017F96"/>
    <w:rsid w:val="00020435"/>
    <w:rsid w:val="00020C96"/>
    <w:rsid w:val="00021165"/>
    <w:rsid w:val="000218EA"/>
    <w:rsid w:val="00021C88"/>
    <w:rsid w:val="00021D85"/>
    <w:rsid w:val="00022266"/>
    <w:rsid w:val="00022A7C"/>
    <w:rsid w:val="00022E36"/>
    <w:rsid w:val="00023EC9"/>
    <w:rsid w:val="00024076"/>
    <w:rsid w:val="00025E29"/>
    <w:rsid w:val="000265DC"/>
    <w:rsid w:val="00026FE7"/>
    <w:rsid w:val="00027043"/>
    <w:rsid w:val="000273C2"/>
    <w:rsid w:val="00035048"/>
    <w:rsid w:val="00035F71"/>
    <w:rsid w:val="00036247"/>
    <w:rsid w:val="00036A4A"/>
    <w:rsid w:val="00037A53"/>
    <w:rsid w:val="000403D3"/>
    <w:rsid w:val="000403F1"/>
    <w:rsid w:val="000411EF"/>
    <w:rsid w:val="00041594"/>
    <w:rsid w:val="00042B00"/>
    <w:rsid w:val="000430F9"/>
    <w:rsid w:val="00043F36"/>
    <w:rsid w:val="00043F3D"/>
    <w:rsid w:val="00043FA9"/>
    <w:rsid w:val="00045478"/>
    <w:rsid w:val="00045F93"/>
    <w:rsid w:val="000465B1"/>
    <w:rsid w:val="00047377"/>
    <w:rsid w:val="0004751B"/>
    <w:rsid w:val="0005206B"/>
    <w:rsid w:val="00053051"/>
    <w:rsid w:val="00053D88"/>
    <w:rsid w:val="000562DB"/>
    <w:rsid w:val="00057342"/>
    <w:rsid w:val="0006401D"/>
    <w:rsid w:val="00064FCA"/>
    <w:rsid w:val="00065163"/>
    <w:rsid w:val="00066E39"/>
    <w:rsid w:val="00066FC7"/>
    <w:rsid w:val="000678EE"/>
    <w:rsid w:val="00067DA8"/>
    <w:rsid w:val="0007020D"/>
    <w:rsid w:val="00070816"/>
    <w:rsid w:val="00072B51"/>
    <w:rsid w:val="00072FF2"/>
    <w:rsid w:val="00073189"/>
    <w:rsid w:val="00073231"/>
    <w:rsid w:val="000743A9"/>
    <w:rsid w:val="00074E16"/>
    <w:rsid w:val="0007576B"/>
    <w:rsid w:val="0007731B"/>
    <w:rsid w:val="0008007A"/>
    <w:rsid w:val="00080ABD"/>
    <w:rsid w:val="00081B37"/>
    <w:rsid w:val="00081E0B"/>
    <w:rsid w:val="00082037"/>
    <w:rsid w:val="0008268E"/>
    <w:rsid w:val="00083273"/>
    <w:rsid w:val="000832C6"/>
    <w:rsid w:val="0008345A"/>
    <w:rsid w:val="0008447B"/>
    <w:rsid w:val="000870C1"/>
    <w:rsid w:val="000870CC"/>
    <w:rsid w:val="00087D0B"/>
    <w:rsid w:val="00090109"/>
    <w:rsid w:val="00090710"/>
    <w:rsid w:val="00091398"/>
    <w:rsid w:val="0009141A"/>
    <w:rsid w:val="00091500"/>
    <w:rsid w:val="000917C8"/>
    <w:rsid w:val="00091D2E"/>
    <w:rsid w:val="000920EC"/>
    <w:rsid w:val="000922D7"/>
    <w:rsid w:val="00092C69"/>
    <w:rsid w:val="00093CF3"/>
    <w:rsid w:val="00094CA8"/>
    <w:rsid w:val="00094ECC"/>
    <w:rsid w:val="0009518E"/>
    <w:rsid w:val="00096458"/>
    <w:rsid w:val="00096E5D"/>
    <w:rsid w:val="00097256"/>
    <w:rsid w:val="000A05CA"/>
    <w:rsid w:val="000A0FFD"/>
    <w:rsid w:val="000A1AE8"/>
    <w:rsid w:val="000A2926"/>
    <w:rsid w:val="000A2D8C"/>
    <w:rsid w:val="000A3111"/>
    <w:rsid w:val="000A4548"/>
    <w:rsid w:val="000A5CF9"/>
    <w:rsid w:val="000A683F"/>
    <w:rsid w:val="000A7209"/>
    <w:rsid w:val="000B10AB"/>
    <w:rsid w:val="000B16C6"/>
    <w:rsid w:val="000B1739"/>
    <w:rsid w:val="000B1E97"/>
    <w:rsid w:val="000B38D7"/>
    <w:rsid w:val="000B4F92"/>
    <w:rsid w:val="000B585D"/>
    <w:rsid w:val="000B6708"/>
    <w:rsid w:val="000B6DFD"/>
    <w:rsid w:val="000C049A"/>
    <w:rsid w:val="000C08FC"/>
    <w:rsid w:val="000C0B97"/>
    <w:rsid w:val="000C0E63"/>
    <w:rsid w:val="000C0F2E"/>
    <w:rsid w:val="000C14DE"/>
    <w:rsid w:val="000C1577"/>
    <w:rsid w:val="000C18E5"/>
    <w:rsid w:val="000C253B"/>
    <w:rsid w:val="000C3396"/>
    <w:rsid w:val="000C3BD3"/>
    <w:rsid w:val="000C447D"/>
    <w:rsid w:val="000C55C3"/>
    <w:rsid w:val="000C56D1"/>
    <w:rsid w:val="000C611B"/>
    <w:rsid w:val="000C6A0D"/>
    <w:rsid w:val="000C7C1E"/>
    <w:rsid w:val="000D0185"/>
    <w:rsid w:val="000D107B"/>
    <w:rsid w:val="000D27F2"/>
    <w:rsid w:val="000D31A3"/>
    <w:rsid w:val="000D41C8"/>
    <w:rsid w:val="000D5005"/>
    <w:rsid w:val="000D5FA7"/>
    <w:rsid w:val="000D61FD"/>
    <w:rsid w:val="000D7AD4"/>
    <w:rsid w:val="000E0359"/>
    <w:rsid w:val="000E135D"/>
    <w:rsid w:val="000E2B64"/>
    <w:rsid w:val="000E361A"/>
    <w:rsid w:val="000E3D4F"/>
    <w:rsid w:val="000E42DC"/>
    <w:rsid w:val="000E4BEA"/>
    <w:rsid w:val="000E4C4C"/>
    <w:rsid w:val="000E6ED8"/>
    <w:rsid w:val="000E7023"/>
    <w:rsid w:val="000F0057"/>
    <w:rsid w:val="000F089A"/>
    <w:rsid w:val="000F0DC3"/>
    <w:rsid w:val="000F156B"/>
    <w:rsid w:val="000F5924"/>
    <w:rsid w:val="000F628E"/>
    <w:rsid w:val="000F6C24"/>
    <w:rsid w:val="00100CD6"/>
    <w:rsid w:val="00101622"/>
    <w:rsid w:val="001017F0"/>
    <w:rsid w:val="001021FA"/>
    <w:rsid w:val="001029A7"/>
    <w:rsid w:val="00102EC9"/>
    <w:rsid w:val="001033E2"/>
    <w:rsid w:val="0010344C"/>
    <w:rsid w:val="00104154"/>
    <w:rsid w:val="001051D0"/>
    <w:rsid w:val="00105F03"/>
    <w:rsid w:val="001067C8"/>
    <w:rsid w:val="00107ABA"/>
    <w:rsid w:val="0011036B"/>
    <w:rsid w:val="001106DA"/>
    <w:rsid w:val="001111D8"/>
    <w:rsid w:val="00111AEE"/>
    <w:rsid w:val="00112B1C"/>
    <w:rsid w:val="00112F7B"/>
    <w:rsid w:val="00113279"/>
    <w:rsid w:val="00113B7C"/>
    <w:rsid w:val="00114C11"/>
    <w:rsid w:val="001152EE"/>
    <w:rsid w:val="001202D1"/>
    <w:rsid w:val="00120CF7"/>
    <w:rsid w:val="00121438"/>
    <w:rsid w:val="001219BC"/>
    <w:rsid w:val="00121B3C"/>
    <w:rsid w:val="00121CCF"/>
    <w:rsid w:val="00122210"/>
    <w:rsid w:val="00123F2E"/>
    <w:rsid w:val="00124FA7"/>
    <w:rsid w:val="0012613B"/>
    <w:rsid w:val="001276B0"/>
    <w:rsid w:val="00127CFD"/>
    <w:rsid w:val="00127E0D"/>
    <w:rsid w:val="00127E2A"/>
    <w:rsid w:val="00127E76"/>
    <w:rsid w:val="0013007A"/>
    <w:rsid w:val="0013022A"/>
    <w:rsid w:val="00130477"/>
    <w:rsid w:val="00130750"/>
    <w:rsid w:val="00131097"/>
    <w:rsid w:val="00131117"/>
    <w:rsid w:val="0013176E"/>
    <w:rsid w:val="00133C74"/>
    <w:rsid w:val="001355A8"/>
    <w:rsid w:val="001374A0"/>
    <w:rsid w:val="00140303"/>
    <w:rsid w:val="00140E92"/>
    <w:rsid w:val="00143AD2"/>
    <w:rsid w:val="00143EA6"/>
    <w:rsid w:val="00143F8D"/>
    <w:rsid w:val="00144762"/>
    <w:rsid w:val="00145404"/>
    <w:rsid w:val="00146311"/>
    <w:rsid w:val="0014666A"/>
    <w:rsid w:val="00150625"/>
    <w:rsid w:val="00150B36"/>
    <w:rsid w:val="001512A0"/>
    <w:rsid w:val="00151A5E"/>
    <w:rsid w:val="00152B47"/>
    <w:rsid w:val="00152C7A"/>
    <w:rsid w:val="00153478"/>
    <w:rsid w:val="00153C6F"/>
    <w:rsid w:val="00154BD1"/>
    <w:rsid w:val="00154CE9"/>
    <w:rsid w:val="00155F97"/>
    <w:rsid w:val="00157C19"/>
    <w:rsid w:val="00160483"/>
    <w:rsid w:val="0016121E"/>
    <w:rsid w:val="001615AA"/>
    <w:rsid w:val="00161BF9"/>
    <w:rsid w:val="00161D5C"/>
    <w:rsid w:val="00162A3C"/>
    <w:rsid w:val="00162D8A"/>
    <w:rsid w:val="001630CB"/>
    <w:rsid w:val="0016345E"/>
    <w:rsid w:val="00163624"/>
    <w:rsid w:val="001636BB"/>
    <w:rsid w:val="00165642"/>
    <w:rsid w:val="00165B60"/>
    <w:rsid w:val="001666F4"/>
    <w:rsid w:val="00172C8D"/>
    <w:rsid w:val="00172E72"/>
    <w:rsid w:val="00172F69"/>
    <w:rsid w:val="00174020"/>
    <w:rsid w:val="001745BD"/>
    <w:rsid w:val="00174F03"/>
    <w:rsid w:val="00175018"/>
    <w:rsid w:val="00175D5C"/>
    <w:rsid w:val="00176899"/>
    <w:rsid w:val="00177097"/>
    <w:rsid w:val="00180E81"/>
    <w:rsid w:val="001817A4"/>
    <w:rsid w:val="00184D4D"/>
    <w:rsid w:val="001852F4"/>
    <w:rsid w:val="00186B1E"/>
    <w:rsid w:val="00187DE5"/>
    <w:rsid w:val="00187ECE"/>
    <w:rsid w:val="001900A8"/>
    <w:rsid w:val="001908FD"/>
    <w:rsid w:val="00192577"/>
    <w:rsid w:val="00192E4D"/>
    <w:rsid w:val="00192F7F"/>
    <w:rsid w:val="001948BD"/>
    <w:rsid w:val="0019604E"/>
    <w:rsid w:val="00197573"/>
    <w:rsid w:val="00197E91"/>
    <w:rsid w:val="001A01B4"/>
    <w:rsid w:val="001A0A4F"/>
    <w:rsid w:val="001A1580"/>
    <w:rsid w:val="001A1ABB"/>
    <w:rsid w:val="001A203C"/>
    <w:rsid w:val="001A2D3A"/>
    <w:rsid w:val="001A3F6E"/>
    <w:rsid w:val="001A4D54"/>
    <w:rsid w:val="001A59DC"/>
    <w:rsid w:val="001A5BFC"/>
    <w:rsid w:val="001A61E2"/>
    <w:rsid w:val="001A6457"/>
    <w:rsid w:val="001A6D26"/>
    <w:rsid w:val="001A7338"/>
    <w:rsid w:val="001A7644"/>
    <w:rsid w:val="001B187A"/>
    <w:rsid w:val="001B39BF"/>
    <w:rsid w:val="001B4564"/>
    <w:rsid w:val="001B47E5"/>
    <w:rsid w:val="001B545F"/>
    <w:rsid w:val="001B6160"/>
    <w:rsid w:val="001B6BAC"/>
    <w:rsid w:val="001B7963"/>
    <w:rsid w:val="001C3B71"/>
    <w:rsid w:val="001C5F10"/>
    <w:rsid w:val="001C68EF"/>
    <w:rsid w:val="001C6C2A"/>
    <w:rsid w:val="001C7494"/>
    <w:rsid w:val="001D04B6"/>
    <w:rsid w:val="001D4459"/>
    <w:rsid w:val="001D490C"/>
    <w:rsid w:val="001D50CB"/>
    <w:rsid w:val="001D5EAA"/>
    <w:rsid w:val="001D643F"/>
    <w:rsid w:val="001D66A3"/>
    <w:rsid w:val="001E0498"/>
    <w:rsid w:val="001E053C"/>
    <w:rsid w:val="001E2F3C"/>
    <w:rsid w:val="001E46E2"/>
    <w:rsid w:val="001E6325"/>
    <w:rsid w:val="001E70F3"/>
    <w:rsid w:val="001E797A"/>
    <w:rsid w:val="001F0E1F"/>
    <w:rsid w:val="001F1318"/>
    <w:rsid w:val="001F1437"/>
    <w:rsid w:val="001F1E86"/>
    <w:rsid w:val="001F218C"/>
    <w:rsid w:val="001F41FB"/>
    <w:rsid w:val="001F4B94"/>
    <w:rsid w:val="001F5861"/>
    <w:rsid w:val="001F68D0"/>
    <w:rsid w:val="001F7822"/>
    <w:rsid w:val="002012CE"/>
    <w:rsid w:val="00201B90"/>
    <w:rsid w:val="002040A0"/>
    <w:rsid w:val="00206055"/>
    <w:rsid w:val="00207550"/>
    <w:rsid w:val="002075B8"/>
    <w:rsid w:val="00210D37"/>
    <w:rsid w:val="00211CC1"/>
    <w:rsid w:val="002122B0"/>
    <w:rsid w:val="0021340F"/>
    <w:rsid w:val="002145A0"/>
    <w:rsid w:val="002201DC"/>
    <w:rsid w:val="002205DA"/>
    <w:rsid w:val="002207EF"/>
    <w:rsid w:val="00220C2F"/>
    <w:rsid w:val="00221593"/>
    <w:rsid w:val="00221819"/>
    <w:rsid w:val="00221A35"/>
    <w:rsid w:val="00224900"/>
    <w:rsid w:val="0022513D"/>
    <w:rsid w:val="002261FE"/>
    <w:rsid w:val="00226876"/>
    <w:rsid w:val="00227700"/>
    <w:rsid w:val="002309EE"/>
    <w:rsid w:val="002356BD"/>
    <w:rsid w:val="002365C8"/>
    <w:rsid w:val="002367BD"/>
    <w:rsid w:val="0024110A"/>
    <w:rsid w:val="00242E2F"/>
    <w:rsid w:val="00243AAD"/>
    <w:rsid w:val="00245C2F"/>
    <w:rsid w:val="00245DAC"/>
    <w:rsid w:val="002513E8"/>
    <w:rsid w:val="00251E29"/>
    <w:rsid w:val="0025305E"/>
    <w:rsid w:val="002533C7"/>
    <w:rsid w:val="002537B2"/>
    <w:rsid w:val="00253F02"/>
    <w:rsid w:val="002546AB"/>
    <w:rsid w:val="002551B2"/>
    <w:rsid w:val="00261743"/>
    <w:rsid w:val="002620CD"/>
    <w:rsid w:val="00264CC5"/>
    <w:rsid w:val="00264F30"/>
    <w:rsid w:val="002650DE"/>
    <w:rsid w:val="00265422"/>
    <w:rsid w:val="00266897"/>
    <w:rsid w:val="00266F38"/>
    <w:rsid w:val="002677E5"/>
    <w:rsid w:val="00267868"/>
    <w:rsid w:val="00270FA8"/>
    <w:rsid w:val="00271C15"/>
    <w:rsid w:val="002725B9"/>
    <w:rsid w:val="002729D4"/>
    <w:rsid w:val="00272CD4"/>
    <w:rsid w:val="00273F38"/>
    <w:rsid w:val="00274C7C"/>
    <w:rsid w:val="002750EF"/>
    <w:rsid w:val="00275300"/>
    <w:rsid w:val="00276DA5"/>
    <w:rsid w:val="00277E80"/>
    <w:rsid w:val="002813DE"/>
    <w:rsid w:val="002815AA"/>
    <w:rsid w:val="0028199D"/>
    <w:rsid w:val="002825D9"/>
    <w:rsid w:val="00283B05"/>
    <w:rsid w:val="00284138"/>
    <w:rsid w:val="002841A3"/>
    <w:rsid w:val="002845DE"/>
    <w:rsid w:val="00284CF1"/>
    <w:rsid w:val="0028666B"/>
    <w:rsid w:val="002900C1"/>
    <w:rsid w:val="0029048F"/>
    <w:rsid w:val="00292C7A"/>
    <w:rsid w:val="00294FBC"/>
    <w:rsid w:val="00296A1B"/>
    <w:rsid w:val="002973E9"/>
    <w:rsid w:val="002A0EEB"/>
    <w:rsid w:val="002A117E"/>
    <w:rsid w:val="002A194C"/>
    <w:rsid w:val="002A239F"/>
    <w:rsid w:val="002A2BD9"/>
    <w:rsid w:val="002A3061"/>
    <w:rsid w:val="002A4BAE"/>
    <w:rsid w:val="002A52E1"/>
    <w:rsid w:val="002A56C4"/>
    <w:rsid w:val="002A5C2D"/>
    <w:rsid w:val="002A75AC"/>
    <w:rsid w:val="002A7BA9"/>
    <w:rsid w:val="002A7FA5"/>
    <w:rsid w:val="002B07DE"/>
    <w:rsid w:val="002B187A"/>
    <w:rsid w:val="002B1F5F"/>
    <w:rsid w:val="002B2AF3"/>
    <w:rsid w:val="002B2C23"/>
    <w:rsid w:val="002B3F5F"/>
    <w:rsid w:val="002B4389"/>
    <w:rsid w:val="002B5285"/>
    <w:rsid w:val="002B5CD4"/>
    <w:rsid w:val="002C0AD0"/>
    <w:rsid w:val="002C0E43"/>
    <w:rsid w:val="002C15BB"/>
    <w:rsid w:val="002C25C5"/>
    <w:rsid w:val="002C2804"/>
    <w:rsid w:val="002C3C17"/>
    <w:rsid w:val="002C42CA"/>
    <w:rsid w:val="002C45F3"/>
    <w:rsid w:val="002C4DFC"/>
    <w:rsid w:val="002C5698"/>
    <w:rsid w:val="002C5A4E"/>
    <w:rsid w:val="002C73F3"/>
    <w:rsid w:val="002C759B"/>
    <w:rsid w:val="002D193E"/>
    <w:rsid w:val="002D21F5"/>
    <w:rsid w:val="002D24C4"/>
    <w:rsid w:val="002D3427"/>
    <w:rsid w:val="002D3D27"/>
    <w:rsid w:val="002D42D5"/>
    <w:rsid w:val="002D46AF"/>
    <w:rsid w:val="002D5967"/>
    <w:rsid w:val="002D5F4C"/>
    <w:rsid w:val="002D5F71"/>
    <w:rsid w:val="002D69FE"/>
    <w:rsid w:val="002E13BC"/>
    <w:rsid w:val="002E14D4"/>
    <w:rsid w:val="002E14E9"/>
    <w:rsid w:val="002E3DB2"/>
    <w:rsid w:val="002E59A0"/>
    <w:rsid w:val="002E6900"/>
    <w:rsid w:val="002E7479"/>
    <w:rsid w:val="002E7F0F"/>
    <w:rsid w:val="002F0010"/>
    <w:rsid w:val="002F0C33"/>
    <w:rsid w:val="002F12D2"/>
    <w:rsid w:val="002F32B1"/>
    <w:rsid w:val="002F361F"/>
    <w:rsid w:val="002F6C5E"/>
    <w:rsid w:val="002F6D83"/>
    <w:rsid w:val="00301608"/>
    <w:rsid w:val="00303C2E"/>
    <w:rsid w:val="00305860"/>
    <w:rsid w:val="00305BB1"/>
    <w:rsid w:val="003063CD"/>
    <w:rsid w:val="00307801"/>
    <w:rsid w:val="00311E5E"/>
    <w:rsid w:val="0031213F"/>
    <w:rsid w:val="003128D2"/>
    <w:rsid w:val="00313EED"/>
    <w:rsid w:val="003141DC"/>
    <w:rsid w:val="003153D3"/>
    <w:rsid w:val="00315C1B"/>
    <w:rsid w:val="00316415"/>
    <w:rsid w:val="00317536"/>
    <w:rsid w:val="003177A8"/>
    <w:rsid w:val="00320459"/>
    <w:rsid w:val="003211DF"/>
    <w:rsid w:val="0032240F"/>
    <w:rsid w:val="00322466"/>
    <w:rsid w:val="00322543"/>
    <w:rsid w:val="0032328B"/>
    <w:rsid w:val="00323D94"/>
    <w:rsid w:val="003244FF"/>
    <w:rsid w:val="00325042"/>
    <w:rsid w:val="00325A4D"/>
    <w:rsid w:val="00327A3D"/>
    <w:rsid w:val="00331754"/>
    <w:rsid w:val="00331CFC"/>
    <w:rsid w:val="00332231"/>
    <w:rsid w:val="00332810"/>
    <w:rsid w:val="00333680"/>
    <w:rsid w:val="00333A2C"/>
    <w:rsid w:val="00334375"/>
    <w:rsid w:val="0033437F"/>
    <w:rsid w:val="00334C09"/>
    <w:rsid w:val="00334C7C"/>
    <w:rsid w:val="00334DED"/>
    <w:rsid w:val="003352ED"/>
    <w:rsid w:val="003367CA"/>
    <w:rsid w:val="00336846"/>
    <w:rsid w:val="00337238"/>
    <w:rsid w:val="00337F54"/>
    <w:rsid w:val="00340C22"/>
    <w:rsid w:val="00341B78"/>
    <w:rsid w:val="00343039"/>
    <w:rsid w:val="00344788"/>
    <w:rsid w:val="00345036"/>
    <w:rsid w:val="003456C8"/>
    <w:rsid w:val="00346AFA"/>
    <w:rsid w:val="00351534"/>
    <w:rsid w:val="00351A3A"/>
    <w:rsid w:val="003520FD"/>
    <w:rsid w:val="00352270"/>
    <w:rsid w:val="00352FD0"/>
    <w:rsid w:val="003540A9"/>
    <w:rsid w:val="003547C6"/>
    <w:rsid w:val="00354913"/>
    <w:rsid w:val="003551AB"/>
    <w:rsid w:val="003553E0"/>
    <w:rsid w:val="00356E24"/>
    <w:rsid w:val="0036236B"/>
    <w:rsid w:val="003629F2"/>
    <w:rsid w:val="00362BB8"/>
    <w:rsid w:val="00365054"/>
    <w:rsid w:val="00365679"/>
    <w:rsid w:val="00366D08"/>
    <w:rsid w:val="003679FC"/>
    <w:rsid w:val="00370EB7"/>
    <w:rsid w:val="003713FA"/>
    <w:rsid w:val="0037161D"/>
    <w:rsid w:val="003731D1"/>
    <w:rsid w:val="00373897"/>
    <w:rsid w:val="00373A3C"/>
    <w:rsid w:val="00373E18"/>
    <w:rsid w:val="00375022"/>
    <w:rsid w:val="00376B9E"/>
    <w:rsid w:val="0037759D"/>
    <w:rsid w:val="00380DCE"/>
    <w:rsid w:val="00382B41"/>
    <w:rsid w:val="003832A9"/>
    <w:rsid w:val="00383EFF"/>
    <w:rsid w:val="00384172"/>
    <w:rsid w:val="00385345"/>
    <w:rsid w:val="003866CE"/>
    <w:rsid w:val="00390951"/>
    <w:rsid w:val="00390FAE"/>
    <w:rsid w:val="003911D9"/>
    <w:rsid w:val="003912ED"/>
    <w:rsid w:val="00393177"/>
    <w:rsid w:val="00393398"/>
    <w:rsid w:val="00393865"/>
    <w:rsid w:val="003965A2"/>
    <w:rsid w:val="00396617"/>
    <w:rsid w:val="003968B0"/>
    <w:rsid w:val="003971A0"/>
    <w:rsid w:val="003A04B2"/>
    <w:rsid w:val="003A14F0"/>
    <w:rsid w:val="003A2EB5"/>
    <w:rsid w:val="003A4FFB"/>
    <w:rsid w:val="003A69F7"/>
    <w:rsid w:val="003B0A97"/>
    <w:rsid w:val="003B0CF1"/>
    <w:rsid w:val="003B27F8"/>
    <w:rsid w:val="003B2E4F"/>
    <w:rsid w:val="003B4829"/>
    <w:rsid w:val="003B55AD"/>
    <w:rsid w:val="003B560C"/>
    <w:rsid w:val="003B5A11"/>
    <w:rsid w:val="003B5BBE"/>
    <w:rsid w:val="003B5E36"/>
    <w:rsid w:val="003B64F0"/>
    <w:rsid w:val="003B6A40"/>
    <w:rsid w:val="003B6AF7"/>
    <w:rsid w:val="003B6DFA"/>
    <w:rsid w:val="003B7D9D"/>
    <w:rsid w:val="003C0C1D"/>
    <w:rsid w:val="003C1251"/>
    <w:rsid w:val="003C3D2E"/>
    <w:rsid w:val="003C53A9"/>
    <w:rsid w:val="003C5506"/>
    <w:rsid w:val="003C601D"/>
    <w:rsid w:val="003C6519"/>
    <w:rsid w:val="003C6EC3"/>
    <w:rsid w:val="003D04F9"/>
    <w:rsid w:val="003D1844"/>
    <w:rsid w:val="003D43FA"/>
    <w:rsid w:val="003D5ACD"/>
    <w:rsid w:val="003D64A4"/>
    <w:rsid w:val="003D67A6"/>
    <w:rsid w:val="003D6924"/>
    <w:rsid w:val="003D6B5A"/>
    <w:rsid w:val="003D7424"/>
    <w:rsid w:val="003E0653"/>
    <w:rsid w:val="003E0810"/>
    <w:rsid w:val="003E2385"/>
    <w:rsid w:val="003E304D"/>
    <w:rsid w:val="003E4840"/>
    <w:rsid w:val="003E5C01"/>
    <w:rsid w:val="003F035C"/>
    <w:rsid w:val="003F0E9A"/>
    <w:rsid w:val="003F1BCF"/>
    <w:rsid w:val="003F27F8"/>
    <w:rsid w:val="003F3434"/>
    <w:rsid w:val="003F61F8"/>
    <w:rsid w:val="003F66DB"/>
    <w:rsid w:val="003F7DC6"/>
    <w:rsid w:val="003F7E06"/>
    <w:rsid w:val="0040041C"/>
    <w:rsid w:val="0040060D"/>
    <w:rsid w:val="00400645"/>
    <w:rsid w:val="004008F8"/>
    <w:rsid w:val="004009EB"/>
    <w:rsid w:val="00400C91"/>
    <w:rsid w:val="00401298"/>
    <w:rsid w:val="00401EAE"/>
    <w:rsid w:val="00404D46"/>
    <w:rsid w:val="004051DC"/>
    <w:rsid w:val="00405A6F"/>
    <w:rsid w:val="00405C79"/>
    <w:rsid w:val="0040669F"/>
    <w:rsid w:val="0040774F"/>
    <w:rsid w:val="00407F48"/>
    <w:rsid w:val="004104D6"/>
    <w:rsid w:val="00412B01"/>
    <w:rsid w:val="00413872"/>
    <w:rsid w:val="00414238"/>
    <w:rsid w:val="00417270"/>
    <w:rsid w:val="004225BC"/>
    <w:rsid w:val="00422BD9"/>
    <w:rsid w:val="004233A0"/>
    <w:rsid w:val="00423917"/>
    <w:rsid w:val="004243B6"/>
    <w:rsid w:val="0042578F"/>
    <w:rsid w:val="00431417"/>
    <w:rsid w:val="00431D6A"/>
    <w:rsid w:val="004325E2"/>
    <w:rsid w:val="00432C79"/>
    <w:rsid w:val="00433692"/>
    <w:rsid w:val="004343D2"/>
    <w:rsid w:val="00434BAE"/>
    <w:rsid w:val="004378A9"/>
    <w:rsid w:val="00440B17"/>
    <w:rsid w:val="0044184B"/>
    <w:rsid w:val="004438B5"/>
    <w:rsid w:val="00443FFF"/>
    <w:rsid w:val="004450D5"/>
    <w:rsid w:val="00445912"/>
    <w:rsid w:val="004459EB"/>
    <w:rsid w:val="0044648D"/>
    <w:rsid w:val="00447752"/>
    <w:rsid w:val="00450EDB"/>
    <w:rsid w:val="0045194D"/>
    <w:rsid w:val="00452E6C"/>
    <w:rsid w:val="00453865"/>
    <w:rsid w:val="00453AAF"/>
    <w:rsid w:val="00453D1C"/>
    <w:rsid w:val="00453DD0"/>
    <w:rsid w:val="00454B2A"/>
    <w:rsid w:val="00455923"/>
    <w:rsid w:val="00462988"/>
    <w:rsid w:val="00462B7C"/>
    <w:rsid w:val="0046507E"/>
    <w:rsid w:val="00466165"/>
    <w:rsid w:val="004665B0"/>
    <w:rsid w:val="0046679B"/>
    <w:rsid w:val="00467D1E"/>
    <w:rsid w:val="00470496"/>
    <w:rsid w:val="0047073A"/>
    <w:rsid w:val="004717C0"/>
    <w:rsid w:val="004732D4"/>
    <w:rsid w:val="004735EB"/>
    <w:rsid w:val="004753C9"/>
    <w:rsid w:val="0047559C"/>
    <w:rsid w:val="00476686"/>
    <w:rsid w:val="00476CA0"/>
    <w:rsid w:val="00476F91"/>
    <w:rsid w:val="004770BC"/>
    <w:rsid w:val="00477DA0"/>
    <w:rsid w:val="004809CE"/>
    <w:rsid w:val="00481251"/>
    <w:rsid w:val="004829DC"/>
    <w:rsid w:val="00483AE7"/>
    <w:rsid w:val="00483DBF"/>
    <w:rsid w:val="004850C8"/>
    <w:rsid w:val="004854F2"/>
    <w:rsid w:val="00486869"/>
    <w:rsid w:val="00486E2A"/>
    <w:rsid w:val="0049002A"/>
    <w:rsid w:val="00490A66"/>
    <w:rsid w:val="004912BA"/>
    <w:rsid w:val="00493498"/>
    <w:rsid w:val="00495E78"/>
    <w:rsid w:val="00497C79"/>
    <w:rsid w:val="004A167A"/>
    <w:rsid w:val="004A28F5"/>
    <w:rsid w:val="004A4897"/>
    <w:rsid w:val="004A588B"/>
    <w:rsid w:val="004A5D7C"/>
    <w:rsid w:val="004A655A"/>
    <w:rsid w:val="004A66B5"/>
    <w:rsid w:val="004A7D19"/>
    <w:rsid w:val="004B105E"/>
    <w:rsid w:val="004B1129"/>
    <w:rsid w:val="004B2976"/>
    <w:rsid w:val="004B4142"/>
    <w:rsid w:val="004B49B0"/>
    <w:rsid w:val="004B4C0E"/>
    <w:rsid w:val="004B576D"/>
    <w:rsid w:val="004B6B90"/>
    <w:rsid w:val="004B78EB"/>
    <w:rsid w:val="004C18F6"/>
    <w:rsid w:val="004C1AEE"/>
    <w:rsid w:val="004C1C6E"/>
    <w:rsid w:val="004C3899"/>
    <w:rsid w:val="004C3BDD"/>
    <w:rsid w:val="004C6198"/>
    <w:rsid w:val="004C7267"/>
    <w:rsid w:val="004C789D"/>
    <w:rsid w:val="004D062D"/>
    <w:rsid w:val="004D2448"/>
    <w:rsid w:val="004D324D"/>
    <w:rsid w:val="004D5298"/>
    <w:rsid w:val="004D5572"/>
    <w:rsid w:val="004D6D88"/>
    <w:rsid w:val="004D7D25"/>
    <w:rsid w:val="004E0241"/>
    <w:rsid w:val="004E15E2"/>
    <w:rsid w:val="004E5124"/>
    <w:rsid w:val="004E63B9"/>
    <w:rsid w:val="004E6A98"/>
    <w:rsid w:val="004E6E1E"/>
    <w:rsid w:val="004F0D9A"/>
    <w:rsid w:val="004F11C5"/>
    <w:rsid w:val="004F234B"/>
    <w:rsid w:val="004F2A6C"/>
    <w:rsid w:val="004F2B5B"/>
    <w:rsid w:val="004F4548"/>
    <w:rsid w:val="004F735A"/>
    <w:rsid w:val="004F7832"/>
    <w:rsid w:val="004F7EFB"/>
    <w:rsid w:val="0050059D"/>
    <w:rsid w:val="0050065E"/>
    <w:rsid w:val="00500FB6"/>
    <w:rsid w:val="0050138F"/>
    <w:rsid w:val="00501BDD"/>
    <w:rsid w:val="00502083"/>
    <w:rsid w:val="005033AF"/>
    <w:rsid w:val="00503642"/>
    <w:rsid w:val="005045C8"/>
    <w:rsid w:val="00505442"/>
    <w:rsid w:val="00505CD0"/>
    <w:rsid w:val="005066DF"/>
    <w:rsid w:val="005067C9"/>
    <w:rsid w:val="00506FF5"/>
    <w:rsid w:val="00507E95"/>
    <w:rsid w:val="0051013A"/>
    <w:rsid w:val="005109D4"/>
    <w:rsid w:val="00510B79"/>
    <w:rsid w:val="005123D2"/>
    <w:rsid w:val="0051366B"/>
    <w:rsid w:val="00514D28"/>
    <w:rsid w:val="00515F78"/>
    <w:rsid w:val="00516B1E"/>
    <w:rsid w:val="005201D8"/>
    <w:rsid w:val="00520E0D"/>
    <w:rsid w:val="00520E1F"/>
    <w:rsid w:val="00521A15"/>
    <w:rsid w:val="00522C00"/>
    <w:rsid w:val="005242A5"/>
    <w:rsid w:val="00525586"/>
    <w:rsid w:val="00525B7A"/>
    <w:rsid w:val="00525D15"/>
    <w:rsid w:val="005260A0"/>
    <w:rsid w:val="005267A4"/>
    <w:rsid w:val="0052755A"/>
    <w:rsid w:val="0052766A"/>
    <w:rsid w:val="005302A0"/>
    <w:rsid w:val="00530EC7"/>
    <w:rsid w:val="00531EC4"/>
    <w:rsid w:val="00532347"/>
    <w:rsid w:val="005330AF"/>
    <w:rsid w:val="00534D85"/>
    <w:rsid w:val="00535EE0"/>
    <w:rsid w:val="00536B50"/>
    <w:rsid w:val="00537D61"/>
    <w:rsid w:val="00540A51"/>
    <w:rsid w:val="005423CF"/>
    <w:rsid w:val="00542D38"/>
    <w:rsid w:val="00543819"/>
    <w:rsid w:val="0054386A"/>
    <w:rsid w:val="00543B35"/>
    <w:rsid w:val="00544127"/>
    <w:rsid w:val="0054615E"/>
    <w:rsid w:val="00546253"/>
    <w:rsid w:val="00546EAB"/>
    <w:rsid w:val="00547550"/>
    <w:rsid w:val="00550BC0"/>
    <w:rsid w:val="00552665"/>
    <w:rsid w:val="00553D1C"/>
    <w:rsid w:val="00554751"/>
    <w:rsid w:val="00554C22"/>
    <w:rsid w:val="00554D8C"/>
    <w:rsid w:val="00555A9E"/>
    <w:rsid w:val="00555F71"/>
    <w:rsid w:val="005602D6"/>
    <w:rsid w:val="00560BD1"/>
    <w:rsid w:val="0056290B"/>
    <w:rsid w:val="00562AF2"/>
    <w:rsid w:val="00562FA1"/>
    <w:rsid w:val="00563638"/>
    <w:rsid w:val="00563822"/>
    <w:rsid w:val="00563F3C"/>
    <w:rsid w:val="005644FF"/>
    <w:rsid w:val="00564A12"/>
    <w:rsid w:val="00565864"/>
    <w:rsid w:val="00566994"/>
    <w:rsid w:val="00567F16"/>
    <w:rsid w:val="005701E0"/>
    <w:rsid w:val="00571005"/>
    <w:rsid w:val="0057215F"/>
    <w:rsid w:val="00573D1B"/>
    <w:rsid w:val="00574838"/>
    <w:rsid w:val="00575298"/>
    <w:rsid w:val="00576E57"/>
    <w:rsid w:val="0057772D"/>
    <w:rsid w:val="005777AB"/>
    <w:rsid w:val="00580332"/>
    <w:rsid w:val="0058097E"/>
    <w:rsid w:val="005820F9"/>
    <w:rsid w:val="00582AF0"/>
    <w:rsid w:val="00583E0B"/>
    <w:rsid w:val="00585673"/>
    <w:rsid w:val="00585801"/>
    <w:rsid w:val="00585AFB"/>
    <w:rsid w:val="005871C8"/>
    <w:rsid w:val="00590815"/>
    <w:rsid w:val="00590D54"/>
    <w:rsid w:val="00590DE0"/>
    <w:rsid w:val="00591E67"/>
    <w:rsid w:val="0059345A"/>
    <w:rsid w:val="00593B3F"/>
    <w:rsid w:val="005948E0"/>
    <w:rsid w:val="005956AE"/>
    <w:rsid w:val="00596BC6"/>
    <w:rsid w:val="0059769B"/>
    <w:rsid w:val="0059775F"/>
    <w:rsid w:val="00597B2A"/>
    <w:rsid w:val="005A0DFE"/>
    <w:rsid w:val="005A2695"/>
    <w:rsid w:val="005A2824"/>
    <w:rsid w:val="005A34B6"/>
    <w:rsid w:val="005A3DB4"/>
    <w:rsid w:val="005A687E"/>
    <w:rsid w:val="005A6AB7"/>
    <w:rsid w:val="005A7291"/>
    <w:rsid w:val="005A7E21"/>
    <w:rsid w:val="005B0728"/>
    <w:rsid w:val="005B072D"/>
    <w:rsid w:val="005B1864"/>
    <w:rsid w:val="005B266F"/>
    <w:rsid w:val="005B2F79"/>
    <w:rsid w:val="005B3EB7"/>
    <w:rsid w:val="005B4B47"/>
    <w:rsid w:val="005B5630"/>
    <w:rsid w:val="005B5E09"/>
    <w:rsid w:val="005B6422"/>
    <w:rsid w:val="005B6F71"/>
    <w:rsid w:val="005B73B9"/>
    <w:rsid w:val="005C034B"/>
    <w:rsid w:val="005C0BD4"/>
    <w:rsid w:val="005C1750"/>
    <w:rsid w:val="005C1957"/>
    <w:rsid w:val="005C1F82"/>
    <w:rsid w:val="005C1F96"/>
    <w:rsid w:val="005C2C5C"/>
    <w:rsid w:val="005C50F7"/>
    <w:rsid w:val="005C5567"/>
    <w:rsid w:val="005C642E"/>
    <w:rsid w:val="005C7980"/>
    <w:rsid w:val="005C7BF0"/>
    <w:rsid w:val="005D0862"/>
    <w:rsid w:val="005D0C3D"/>
    <w:rsid w:val="005D104B"/>
    <w:rsid w:val="005D112E"/>
    <w:rsid w:val="005D2F3F"/>
    <w:rsid w:val="005D2FBC"/>
    <w:rsid w:val="005D4881"/>
    <w:rsid w:val="005D4CCC"/>
    <w:rsid w:val="005D4FA2"/>
    <w:rsid w:val="005E0D62"/>
    <w:rsid w:val="005E115A"/>
    <w:rsid w:val="005E3F8C"/>
    <w:rsid w:val="005E3FE3"/>
    <w:rsid w:val="005E42C6"/>
    <w:rsid w:val="005E4BD9"/>
    <w:rsid w:val="005E5327"/>
    <w:rsid w:val="005E739E"/>
    <w:rsid w:val="005E79BE"/>
    <w:rsid w:val="005E7F8B"/>
    <w:rsid w:val="005F145E"/>
    <w:rsid w:val="005F24AE"/>
    <w:rsid w:val="005F28F9"/>
    <w:rsid w:val="005F5171"/>
    <w:rsid w:val="005F5873"/>
    <w:rsid w:val="005F5E9C"/>
    <w:rsid w:val="005F6644"/>
    <w:rsid w:val="005F6A33"/>
    <w:rsid w:val="00600992"/>
    <w:rsid w:val="00601455"/>
    <w:rsid w:val="006025BA"/>
    <w:rsid w:val="006037BE"/>
    <w:rsid w:val="006047AC"/>
    <w:rsid w:val="00604803"/>
    <w:rsid w:val="0060500E"/>
    <w:rsid w:val="00605B2A"/>
    <w:rsid w:val="00605DEC"/>
    <w:rsid w:val="00606C09"/>
    <w:rsid w:val="00606D33"/>
    <w:rsid w:val="00606EE8"/>
    <w:rsid w:val="006077EB"/>
    <w:rsid w:val="00607DB5"/>
    <w:rsid w:val="0061027D"/>
    <w:rsid w:val="006131F2"/>
    <w:rsid w:val="00613655"/>
    <w:rsid w:val="00614193"/>
    <w:rsid w:val="006156F3"/>
    <w:rsid w:val="006161FE"/>
    <w:rsid w:val="00620119"/>
    <w:rsid w:val="00621093"/>
    <w:rsid w:val="0062259D"/>
    <w:rsid w:val="006227F8"/>
    <w:rsid w:val="00622937"/>
    <w:rsid w:val="006235FD"/>
    <w:rsid w:val="00625AF9"/>
    <w:rsid w:val="006271CC"/>
    <w:rsid w:val="00627898"/>
    <w:rsid w:val="00627D3E"/>
    <w:rsid w:val="00630EFE"/>
    <w:rsid w:val="006317F1"/>
    <w:rsid w:val="0063365C"/>
    <w:rsid w:val="00633E94"/>
    <w:rsid w:val="006352E5"/>
    <w:rsid w:val="00635E61"/>
    <w:rsid w:val="00636882"/>
    <w:rsid w:val="00642132"/>
    <w:rsid w:val="0064375F"/>
    <w:rsid w:val="0064466F"/>
    <w:rsid w:val="00645650"/>
    <w:rsid w:val="0064613B"/>
    <w:rsid w:val="00646972"/>
    <w:rsid w:val="00646DC0"/>
    <w:rsid w:val="00647B4B"/>
    <w:rsid w:val="00650142"/>
    <w:rsid w:val="00650846"/>
    <w:rsid w:val="00651271"/>
    <w:rsid w:val="00652614"/>
    <w:rsid w:val="00652A5E"/>
    <w:rsid w:val="006546ED"/>
    <w:rsid w:val="00657117"/>
    <w:rsid w:val="00660F8A"/>
    <w:rsid w:val="0066110B"/>
    <w:rsid w:val="00661EB0"/>
    <w:rsid w:val="006641BC"/>
    <w:rsid w:val="00665158"/>
    <w:rsid w:val="0066662E"/>
    <w:rsid w:val="006667A5"/>
    <w:rsid w:val="00670310"/>
    <w:rsid w:val="0067057E"/>
    <w:rsid w:val="00671287"/>
    <w:rsid w:val="00671931"/>
    <w:rsid w:val="00671A60"/>
    <w:rsid w:val="00673887"/>
    <w:rsid w:val="00675129"/>
    <w:rsid w:val="00675B2E"/>
    <w:rsid w:val="0067623D"/>
    <w:rsid w:val="006767ED"/>
    <w:rsid w:val="00681249"/>
    <w:rsid w:val="006814CD"/>
    <w:rsid w:val="006816C1"/>
    <w:rsid w:val="0068212D"/>
    <w:rsid w:val="0068239D"/>
    <w:rsid w:val="00682563"/>
    <w:rsid w:val="0068356F"/>
    <w:rsid w:val="0068360F"/>
    <w:rsid w:val="0068387C"/>
    <w:rsid w:val="00683C28"/>
    <w:rsid w:val="006847FC"/>
    <w:rsid w:val="00684E91"/>
    <w:rsid w:val="00685CE0"/>
    <w:rsid w:val="006868F1"/>
    <w:rsid w:val="00690C64"/>
    <w:rsid w:val="00691A49"/>
    <w:rsid w:val="0069301A"/>
    <w:rsid w:val="006946D4"/>
    <w:rsid w:val="00694B66"/>
    <w:rsid w:val="0069527B"/>
    <w:rsid w:val="00695736"/>
    <w:rsid w:val="00695E71"/>
    <w:rsid w:val="00696522"/>
    <w:rsid w:val="00697B7D"/>
    <w:rsid w:val="006A087B"/>
    <w:rsid w:val="006A15D4"/>
    <w:rsid w:val="006A3963"/>
    <w:rsid w:val="006A3C4F"/>
    <w:rsid w:val="006A3D27"/>
    <w:rsid w:val="006A4954"/>
    <w:rsid w:val="006A4968"/>
    <w:rsid w:val="006A522D"/>
    <w:rsid w:val="006B01A2"/>
    <w:rsid w:val="006B0725"/>
    <w:rsid w:val="006B22FA"/>
    <w:rsid w:val="006B6DAB"/>
    <w:rsid w:val="006B708B"/>
    <w:rsid w:val="006B7121"/>
    <w:rsid w:val="006C0005"/>
    <w:rsid w:val="006C0299"/>
    <w:rsid w:val="006C0557"/>
    <w:rsid w:val="006C2BB6"/>
    <w:rsid w:val="006C3353"/>
    <w:rsid w:val="006C4580"/>
    <w:rsid w:val="006C4B52"/>
    <w:rsid w:val="006C6A41"/>
    <w:rsid w:val="006C72A6"/>
    <w:rsid w:val="006C78A5"/>
    <w:rsid w:val="006D1634"/>
    <w:rsid w:val="006D2443"/>
    <w:rsid w:val="006D2939"/>
    <w:rsid w:val="006D350C"/>
    <w:rsid w:val="006D3D44"/>
    <w:rsid w:val="006D3EFC"/>
    <w:rsid w:val="006D4824"/>
    <w:rsid w:val="006D50E2"/>
    <w:rsid w:val="006D52FD"/>
    <w:rsid w:val="006D5536"/>
    <w:rsid w:val="006D5AA4"/>
    <w:rsid w:val="006D77E2"/>
    <w:rsid w:val="006D7A62"/>
    <w:rsid w:val="006E0290"/>
    <w:rsid w:val="006E0DB8"/>
    <w:rsid w:val="006E1B16"/>
    <w:rsid w:val="006E1BBB"/>
    <w:rsid w:val="006E2B97"/>
    <w:rsid w:val="006E336C"/>
    <w:rsid w:val="006E44D4"/>
    <w:rsid w:val="006E46E2"/>
    <w:rsid w:val="006E4E45"/>
    <w:rsid w:val="006E4E57"/>
    <w:rsid w:val="006E6B36"/>
    <w:rsid w:val="006E7D39"/>
    <w:rsid w:val="006F08FD"/>
    <w:rsid w:val="006F0C79"/>
    <w:rsid w:val="006F107F"/>
    <w:rsid w:val="006F11BB"/>
    <w:rsid w:val="006F1493"/>
    <w:rsid w:val="006F2F73"/>
    <w:rsid w:val="006F312D"/>
    <w:rsid w:val="006F3D23"/>
    <w:rsid w:val="006F41F5"/>
    <w:rsid w:val="006F4C93"/>
    <w:rsid w:val="006F6275"/>
    <w:rsid w:val="006F7683"/>
    <w:rsid w:val="00701DF1"/>
    <w:rsid w:val="00702032"/>
    <w:rsid w:val="0070213C"/>
    <w:rsid w:val="00704622"/>
    <w:rsid w:val="0070497C"/>
    <w:rsid w:val="00704B9C"/>
    <w:rsid w:val="00704EF4"/>
    <w:rsid w:val="00710A6F"/>
    <w:rsid w:val="007121AF"/>
    <w:rsid w:val="007124C6"/>
    <w:rsid w:val="00712EDC"/>
    <w:rsid w:val="00713A88"/>
    <w:rsid w:val="00713ECE"/>
    <w:rsid w:val="00714B49"/>
    <w:rsid w:val="00714C63"/>
    <w:rsid w:val="0072437C"/>
    <w:rsid w:val="00724E7B"/>
    <w:rsid w:val="00726C5E"/>
    <w:rsid w:val="00730B8F"/>
    <w:rsid w:val="00732038"/>
    <w:rsid w:val="0073216D"/>
    <w:rsid w:val="0073231B"/>
    <w:rsid w:val="0073275E"/>
    <w:rsid w:val="00732FBB"/>
    <w:rsid w:val="0073300F"/>
    <w:rsid w:val="00733687"/>
    <w:rsid w:val="007336CF"/>
    <w:rsid w:val="0073405E"/>
    <w:rsid w:val="007341A1"/>
    <w:rsid w:val="007347C2"/>
    <w:rsid w:val="00734BD3"/>
    <w:rsid w:val="00737314"/>
    <w:rsid w:val="007378DB"/>
    <w:rsid w:val="00740D67"/>
    <w:rsid w:val="00742C47"/>
    <w:rsid w:val="00744345"/>
    <w:rsid w:val="00744E9F"/>
    <w:rsid w:val="00744F07"/>
    <w:rsid w:val="00745AC5"/>
    <w:rsid w:val="0075040C"/>
    <w:rsid w:val="0075040E"/>
    <w:rsid w:val="007504CF"/>
    <w:rsid w:val="007516FE"/>
    <w:rsid w:val="00752A9E"/>
    <w:rsid w:val="00752B39"/>
    <w:rsid w:val="00752E03"/>
    <w:rsid w:val="007535B0"/>
    <w:rsid w:val="00753A51"/>
    <w:rsid w:val="00753EF7"/>
    <w:rsid w:val="00754464"/>
    <w:rsid w:val="00756194"/>
    <w:rsid w:val="007561BD"/>
    <w:rsid w:val="00756289"/>
    <w:rsid w:val="007562B3"/>
    <w:rsid w:val="00756A12"/>
    <w:rsid w:val="00756BCD"/>
    <w:rsid w:val="007602B7"/>
    <w:rsid w:val="007610F5"/>
    <w:rsid w:val="0076189D"/>
    <w:rsid w:val="0076195B"/>
    <w:rsid w:val="00761D0A"/>
    <w:rsid w:val="00761FE7"/>
    <w:rsid w:val="00762599"/>
    <w:rsid w:val="0076389A"/>
    <w:rsid w:val="00763E57"/>
    <w:rsid w:val="007646DB"/>
    <w:rsid w:val="00764909"/>
    <w:rsid w:val="00767131"/>
    <w:rsid w:val="007672C5"/>
    <w:rsid w:val="00767BAF"/>
    <w:rsid w:val="00767F98"/>
    <w:rsid w:val="007721FB"/>
    <w:rsid w:val="00772B46"/>
    <w:rsid w:val="00773897"/>
    <w:rsid w:val="00773A28"/>
    <w:rsid w:val="00774F30"/>
    <w:rsid w:val="00775A48"/>
    <w:rsid w:val="00776933"/>
    <w:rsid w:val="00776FFB"/>
    <w:rsid w:val="00780404"/>
    <w:rsid w:val="00781695"/>
    <w:rsid w:val="00782743"/>
    <w:rsid w:val="00784C8D"/>
    <w:rsid w:val="0078532D"/>
    <w:rsid w:val="00785EC9"/>
    <w:rsid w:val="007864FB"/>
    <w:rsid w:val="00791791"/>
    <w:rsid w:val="0079192E"/>
    <w:rsid w:val="00795370"/>
    <w:rsid w:val="0079537C"/>
    <w:rsid w:val="00795A22"/>
    <w:rsid w:val="00795ABB"/>
    <w:rsid w:val="00795D30"/>
    <w:rsid w:val="007A161E"/>
    <w:rsid w:val="007A18A0"/>
    <w:rsid w:val="007A1DAD"/>
    <w:rsid w:val="007A1F68"/>
    <w:rsid w:val="007A2281"/>
    <w:rsid w:val="007A479A"/>
    <w:rsid w:val="007A4D4B"/>
    <w:rsid w:val="007A5C72"/>
    <w:rsid w:val="007A62B7"/>
    <w:rsid w:val="007A6C96"/>
    <w:rsid w:val="007A76F3"/>
    <w:rsid w:val="007B0DB9"/>
    <w:rsid w:val="007B2E61"/>
    <w:rsid w:val="007B4EF2"/>
    <w:rsid w:val="007B51CD"/>
    <w:rsid w:val="007B5C20"/>
    <w:rsid w:val="007B604D"/>
    <w:rsid w:val="007B703C"/>
    <w:rsid w:val="007B75C7"/>
    <w:rsid w:val="007C1B14"/>
    <w:rsid w:val="007C24ED"/>
    <w:rsid w:val="007C2ACC"/>
    <w:rsid w:val="007C3241"/>
    <w:rsid w:val="007C3F9C"/>
    <w:rsid w:val="007C519F"/>
    <w:rsid w:val="007C6619"/>
    <w:rsid w:val="007C68BD"/>
    <w:rsid w:val="007C72DC"/>
    <w:rsid w:val="007D036C"/>
    <w:rsid w:val="007D05F7"/>
    <w:rsid w:val="007D1DC1"/>
    <w:rsid w:val="007D3328"/>
    <w:rsid w:val="007D389B"/>
    <w:rsid w:val="007D44F8"/>
    <w:rsid w:val="007D5281"/>
    <w:rsid w:val="007D53F8"/>
    <w:rsid w:val="007D5CCA"/>
    <w:rsid w:val="007D5DE0"/>
    <w:rsid w:val="007D6032"/>
    <w:rsid w:val="007D6C6F"/>
    <w:rsid w:val="007D6DFB"/>
    <w:rsid w:val="007D7B51"/>
    <w:rsid w:val="007E01A5"/>
    <w:rsid w:val="007E049E"/>
    <w:rsid w:val="007E11E9"/>
    <w:rsid w:val="007E1790"/>
    <w:rsid w:val="007E33AE"/>
    <w:rsid w:val="007E54DF"/>
    <w:rsid w:val="007E644A"/>
    <w:rsid w:val="007E64C7"/>
    <w:rsid w:val="007E65AE"/>
    <w:rsid w:val="007E785E"/>
    <w:rsid w:val="007E7E07"/>
    <w:rsid w:val="007F03BF"/>
    <w:rsid w:val="007F0788"/>
    <w:rsid w:val="007F145E"/>
    <w:rsid w:val="007F1553"/>
    <w:rsid w:val="007F2A85"/>
    <w:rsid w:val="007F3BEA"/>
    <w:rsid w:val="007F5506"/>
    <w:rsid w:val="007F6530"/>
    <w:rsid w:val="007F73E7"/>
    <w:rsid w:val="0080083A"/>
    <w:rsid w:val="00800C5D"/>
    <w:rsid w:val="00801634"/>
    <w:rsid w:val="00803276"/>
    <w:rsid w:val="00803BA6"/>
    <w:rsid w:val="00806791"/>
    <w:rsid w:val="008068B0"/>
    <w:rsid w:val="00807002"/>
    <w:rsid w:val="00807097"/>
    <w:rsid w:val="00807D8F"/>
    <w:rsid w:val="0081220A"/>
    <w:rsid w:val="00813B45"/>
    <w:rsid w:val="00814731"/>
    <w:rsid w:val="0081542E"/>
    <w:rsid w:val="008160FB"/>
    <w:rsid w:val="0081624B"/>
    <w:rsid w:val="0081D757"/>
    <w:rsid w:val="00821778"/>
    <w:rsid w:val="00822073"/>
    <w:rsid w:val="0082278B"/>
    <w:rsid w:val="008227D0"/>
    <w:rsid w:val="00823E97"/>
    <w:rsid w:val="00824D1C"/>
    <w:rsid w:val="0082749B"/>
    <w:rsid w:val="00827A32"/>
    <w:rsid w:val="0083262E"/>
    <w:rsid w:val="00832CA7"/>
    <w:rsid w:val="0083784D"/>
    <w:rsid w:val="00840180"/>
    <w:rsid w:val="00840A9D"/>
    <w:rsid w:val="00841B25"/>
    <w:rsid w:val="00841E14"/>
    <w:rsid w:val="0084342F"/>
    <w:rsid w:val="00844A0B"/>
    <w:rsid w:val="00845745"/>
    <w:rsid w:val="0084739C"/>
    <w:rsid w:val="00850F09"/>
    <w:rsid w:val="0085235A"/>
    <w:rsid w:val="0085321C"/>
    <w:rsid w:val="0085393E"/>
    <w:rsid w:val="00854E4A"/>
    <w:rsid w:val="008557D5"/>
    <w:rsid w:val="00855938"/>
    <w:rsid w:val="00857828"/>
    <w:rsid w:val="00857933"/>
    <w:rsid w:val="00857FA4"/>
    <w:rsid w:val="00860FA9"/>
    <w:rsid w:val="00862666"/>
    <w:rsid w:val="00863CF4"/>
    <w:rsid w:val="0086484F"/>
    <w:rsid w:val="00864DF0"/>
    <w:rsid w:val="008663C0"/>
    <w:rsid w:val="008678BB"/>
    <w:rsid w:val="00867E11"/>
    <w:rsid w:val="00870425"/>
    <w:rsid w:val="00870942"/>
    <w:rsid w:val="00870E51"/>
    <w:rsid w:val="0087190E"/>
    <w:rsid w:val="008719ED"/>
    <w:rsid w:val="008721B5"/>
    <w:rsid w:val="00872B49"/>
    <w:rsid w:val="00873702"/>
    <w:rsid w:val="00875045"/>
    <w:rsid w:val="00875639"/>
    <w:rsid w:val="00875C35"/>
    <w:rsid w:val="008779CE"/>
    <w:rsid w:val="00877E4C"/>
    <w:rsid w:val="008804AF"/>
    <w:rsid w:val="008806E0"/>
    <w:rsid w:val="00881F5B"/>
    <w:rsid w:val="00882C92"/>
    <w:rsid w:val="00883455"/>
    <w:rsid w:val="00883992"/>
    <w:rsid w:val="0088493A"/>
    <w:rsid w:val="00884ED7"/>
    <w:rsid w:val="00886F73"/>
    <w:rsid w:val="008903EA"/>
    <w:rsid w:val="00890B92"/>
    <w:rsid w:val="00890C18"/>
    <w:rsid w:val="00892747"/>
    <w:rsid w:val="008940B3"/>
    <w:rsid w:val="00894408"/>
    <w:rsid w:val="00896099"/>
    <w:rsid w:val="00896957"/>
    <w:rsid w:val="00896AAF"/>
    <w:rsid w:val="00896BDB"/>
    <w:rsid w:val="008A07C9"/>
    <w:rsid w:val="008A1741"/>
    <w:rsid w:val="008A1B55"/>
    <w:rsid w:val="008A2E3C"/>
    <w:rsid w:val="008A5182"/>
    <w:rsid w:val="008A535C"/>
    <w:rsid w:val="008A5D71"/>
    <w:rsid w:val="008A5EED"/>
    <w:rsid w:val="008A62C3"/>
    <w:rsid w:val="008A71E8"/>
    <w:rsid w:val="008A72A8"/>
    <w:rsid w:val="008B11EE"/>
    <w:rsid w:val="008B1485"/>
    <w:rsid w:val="008B18E4"/>
    <w:rsid w:val="008B20FE"/>
    <w:rsid w:val="008B21E3"/>
    <w:rsid w:val="008B23EF"/>
    <w:rsid w:val="008B44BD"/>
    <w:rsid w:val="008B4CCF"/>
    <w:rsid w:val="008B564B"/>
    <w:rsid w:val="008B607D"/>
    <w:rsid w:val="008B74CB"/>
    <w:rsid w:val="008C0980"/>
    <w:rsid w:val="008C0F20"/>
    <w:rsid w:val="008C1597"/>
    <w:rsid w:val="008C1DC6"/>
    <w:rsid w:val="008C25C4"/>
    <w:rsid w:val="008C2D07"/>
    <w:rsid w:val="008C311A"/>
    <w:rsid w:val="008C46E0"/>
    <w:rsid w:val="008C4CBB"/>
    <w:rsid w:val="008C4F7B"/>
    <w:rsid w:val="008C5E72"/>
    <w:rsid w:val="008C6B79"/>
    <w:rsid w:val="008C70E9"/>
    <w:rsid w:val="008C7D58"/>
    <w:rsid w:val="008D07D7"/>
    <w:rsid w:val="008D2270"/>
    <w:rsid w:val="008D3660"/>
    <w:rsid w:val="008D4F6C"/>
    <w:rsid w:val="008D5441"/>
    <w:rsid w:val="008D6BBA"/>
    <w:rsid w:val="008E0A68"/>
    <w:rsid w:val="008E115F"/>
    <w:rsid w:val="008E15FD"/>
    <w:rsid w:val="008E1D36"/>
    <w:rsid w:val="008E21F5"/>
    <w:rsid w:val="008E39C0"/>
    <w:rsid w:val="008E39F4"/>
    <w:rsid w:val="008E435D"/>
    <w:rsid w:val="008E4A9B"/>
    <w:rsid w:val="008E5B93"/>
    <w:rsid w:val="008E5EDB"/>
    <w:rsid w:val="008E744F"/>
    <w:rsid w:val="008F28B6"/>
    <w:rsid w:val="008F2B13"/>
    <w:rsid w:val="008F3519"/>
    <w:rsid w:val="008F3548"/>
    <w:rsid w:val="008F4800"/>
    <w:rsid w:val="008F7CF5"/>
    <w:rsid w:val="009005E2"/>
    <w:rsid w:val="00900A3B"/>
    <w:rsid w:val="00900DE1"/>
    <w:rsid w:val="0090278D"/>
    <w:rsid w:val="00903F11"/>
    <w:rsid w:val="00905342"/>
    <w:rsid w:val="009066A2"/>
    <w:rsid w:val="009101A3"/>
    <w:rsid w:val="00910646"/>
    <w:rsid w:val="009128A8"/>
    <w:rsid w:val="00912BD0"/>
    <w:rsid w:val="00912D59"/>
    <w:rsid w:val="00912D69"/>
    <w:rsid w:val="00914A72"/>
    <w:rsid w:val="00914DE2"/>
    <w:rsid w:val="00915B86"/>
    <w:rsid w:val="009168BA"/>
    <w:rsid w:val="0091690F"/>
    <w:rsid w:val="00920AD8"/>
    <w:rsid w:val="00920D16"/>
    <w:rsid w:val="0092166A"/>
    <w:rsid w:val="00922792"/>
    <w:rsid w:val="00922ADA"/>
    <w:rsid w:val="0092475C"/>
    <w:rsid w:val="00925177"/>
    <w:rsid w:val="00925861"/>
    <w:rsid w:val="009258EF"/>
    <w:rsid w:val="00925B34"/>
    <w:rsid w:val="0093313C"/>
    <w:rsid w:val="009335A2"/>
    <w:rsid w:val="00933C58"/>
    <w:rsid w:val="00933DCE"/>
    <w:rsid w:val="00937492"/>
    <w:rsid w:val="009402E2"/>
    <w:rsid w:val="00941C7F"/>
    <w:rsid w:val="00942390"/>
    <w:rsid w:val="009436FE"/>
    <w:rsid w:val="00944010"/>
    <w:rsid w:val="009448C3"/>
    <w:rsid w:val="009450BF"/>
    <w:rsid w:val="00945129"/>
    <w:rsid w:val="00945DC3"/>
    <w:rsid w:val="00946454"/>
    <w:rsid w:val="0094649E"/>
    <w:rsid w:val="00946E17"/>
    <w:rsid w:val="00951751"/>
    <w:rsid w:val="009521F8"/>
    <w:rsid w:val="009529B7"/>
    <w:rsid w:val="0095433A"/>
    <w:rsid w:val="00954F1B"/>
    <w:rsid w:val="00955112"/>
    <w:rsid w:val="00955A23"/>
    <w:rsid w:val="00955B85"/>
    <w:rsid w:val="0095677E"/>
    <w:rsid w:val="0096097B"/>
    <w:rsid w:val="0096182E"/>
    <w:rsid w:val="00962DC0"/>
    <w:rsid w:val="00962E17"/>
    <w:rsid w:val="00963EFD"/>
    <w:rsid w:val="009643DA"/>
    <w:rsid w:val="009647E8"/>
    <w:rsid w:val="00964C95"/>
    <w:rsid w:val="00964F8D"/>
    <w:rsid w:val="00965633"/>
    <w:rsid w:val="009667B3"/>
    <w:rsid w:val="00966CAC"/>
    <w:rsid w:val="00967222"/>
    <w:rsid w:val="009678C4"/>
    <w:rsid w:val="00970386"/>
    <w:rsid w:val="009707E3"/>
    <w:rsid w:val="0097118B"/>
    <w:rsid w:val="00971524"/>
    <w:rsid w:val="009741E9"/>
    <w:rsid w:val="0097451A"/>
    <w:rsid w:val="009755FF"/>
    <w:rsid w:val="0097771C"/>
    <w:rsid w:val="00977A25"/>
    <w:rsid w:val="009817C8"/>
    <w:rsid w:val="00981A44"/>
    <w:rsid w:val="00981FCD"/>
    <w:rsid w:val="009842FF"/>
    <w:rsid w:val="009846B8"/>
    <w:rsid w:val="00984831"/>
    <w:rsid w:val="009852D1"/>
    <w:rsid w:val="00986A65"/>
    <w:rsid w:val="009875D9"/>
    <w:rsid w:val="00987C28"/>
    <w:rsid w:val="0099068F"/>
    <w:rsid w:val="00992298"/>
    <w:rsid w:val="0099345D"/>
    <w:rsid w:val="00994ADA"/>
    <w:rsid w:val="00995198"/>
    <w:rsid w:val="00995216"/>
    <w:rsid w:val="0099600E"/>
    <w:rsid w:val="009977E4"/>
    <w:rsid w:val="009A0500"/>
    <w:rsid w:val="009A0C5B"/>
    <w:rsid w:val="009A0ED4"/>
    <w:rsid w:val="009A32BD"/>
    <w:rsid w:val="009A463C"/>
    <w:rsid w:val="009A4B88"/>
    <w:rsid w:val="009A5ECB"/>
    <w:rsid w:val="009A7A1E"/>
    <w:rsid w:val="009A7C37"/>
    <w:rsid w:val="009A7DD9"/>
    <w:rsid w:val="009B0FBB"/>
    <w:rsid w:val="009B16D3"/>
    <w:rsid w:val="009B3181"/>
    <w:rsid w:val="009B3285"/>
    <w:rsid w:val="009B5364"/>
    <w:rsid w:val="009B61DE"/>
    <w:rsid w:val="009B62C3"/>
    <w:rsid w:val="009B7810"/>
    <w:rsid w:val="009B7EE3"/>
    <w:rsid w:val="009C07FA"/>
    <w:rsid w:val="009C09E5"/>
    <w:rsid w:val="009C0AB8"/>
    <w:rsid w:val="009C0E5D"/>
    <w:rsid w:val="009C2C07"/>
    <w:rsid w:val="009C4279"/>
    <w:rsid w:val="009C42F0"/>
    <w:rsid w:val="009C58A2"/>
    <w:rsid w:val="009C59B0"/>
    <w:rsid w:val="009C6B46"/>
    <w:rsid w:val="009C719A"/>
    <w:rsid w:val="009D029D"/>
    <w:rsid w:val="009D0CC5"/>
    <w:rsid w:val="009D3057"/>
    <w:rsid w:val="009D50D7"/>
    <w:rsid w:val="009D5304"/>
    <w:rsid w:val="009D5A42"/>
    <w:rsid w:val="009D5AF0"/>
    <w:rsid w:val="009D6A22"/>
    <w:rsid w:val="009D701F"/>
    <w:rsid w:val="009D7405"/>
    <w:rsid w:val="009D745C"/>
    <w:rsid w:val="009D77E9"/>
    <w:rsid w:val="009E1D19"/>
    <w:rsid w:val="009E1F52"/>
    <w:rsid w:val="009E2BC8"/>
    <w:rsid w:val="009E2E74"/>
    <w:rsid w:val="009E33A6"/>
    <w:rsid w:val="009E3550"/>
    <w:rsid w:val="009E37AE"/>
    <w:rsid w:val="009E3B05"/>
    <w:rsid w:val="009E705B"/>
    <w:rsid w:val="009E72C8"/>
    <w:rsid w:val="009F1176"/>
    <w:rsid w:val="009F1879"/>
    <w:rsid w:val="009F37B4"/>
    <w:rsid w:val="009F4B25"/>
    <w:rsid w:val="009F4EC7"/>
    <w:rsid w:val="009F56EF"/>
    <w:rsid w:val="009F57A5"/>
    <w:rsid w:val="009F5FEC"/>
    <w:rsid w:val="009F74E5"/>
    <w:rsid w:val="00A0119F"/>
    <w:rsid w:val="00A01EEC"/>
    <w:rsid w:val="00A02689"/>
    <w:rsid w:val="00A05727"/>
    <w:rsid w:val="00A064B4"/>
    <w:rsid w:val="00A07763"/>
    <w:rsid w:val="00A07D07"/>
    <w:rsid w:val="00A10AC5"/>
    <w:rsid w:val="00A118BD"/>
    <w:rsid w:val="00A1544B"/>
    <w:rsid w:val="00A1556C"/>
    <w:rsid w:val="00A16A94"/>
    <w:rsid w:val="00A16AE6"/>
    <w:rsid w:val="00A2013D"/>
    <w:rsid w:val="00A2273A"/>
    <w:rsid w:val="00A235CF"/>
    <w:rsid w:val="00A23F9E"/>
    <w:rsid w:val="00A243D9"/>
    <w:rsid w:val="00A25ECB"/>
    <w:rsid w:val="00A26FF4"/>
    <w:rsid w:val="00A31A66"/>
    <w:rsid w:val="00A326EB"/>
    <w:rsid w:val="00A34245"/>
    <w:rsid w:val="00A3431B"/>
    <w:rsid w:val="00A34566"/>
    <w:rsid w:val="00A347F3"/>
    <w:rsid w:val="00A34E04"/>
    <w:rsid w:val="00A353AF"/>
    <w:rsid w:val="00A35439"/>
    <w:rsid w:val="00A354CE"/>
    <w:rsid w:val="00A359F9"/>
    <w:rsid w:val="00A409AE"/>
    <w:rsid w:val="00A42C3F"/>
    <w:rsid w:val="00A4343D"/>
    <w:rsid w:val="00A4420A"/>
    <w:rsid w:val="00A447C9"/>
    <w:rsid w:val="00A455D7"/>
    <w:rsid w:val="00A45980"/>
    <w:rsid w:val="00A46861"/>
    <w:rsid w:val="00A46BD5"/>
    <w:rsid w:val="00A47424"/>
    <w:rsid w:val="00A474B5"/>
    <w:rsid w:val="00A479F6"/>
    <w:rsid w:val="00A47E45"/>
    <w:rsid w:val="00A50076"/>
    <w:rsid w:val="00A5031F"/>
    <w:rsid w:val="00A50807"/>
    <w:rsid w:val="00A5168B"/>
    <w:rsid w:val="00A5486E"/>
    <w:rsid w:val="00A5501B"/>
    <w:rsid w:val="00A569BA"/>
    <w:rsid w:val="00A57658"/>
    <w:rsid w:val="00A61DE3"/>
    <w:rsid w:val="00A62001"/>
    <w:rsid w:val="00A63657"/>
    <w:rsid w:val="00A636BE"/>
    <w:rsid w:val="00A63EED"/>
    <w:rsid w:val="00A63F86"/>
    <w:rsid w:val="00A64412"/>
    <w:rsid w:val="00A6452C"/>
    <w:rsid w:val="00A64CDB"/>
    <w:rsid w:val="00A65592"/>
    <w:rsid w:val="00A6773C"/>
    <w:rsid w:val="00A67CEA"/>
    <w:rsid w:val="00A67D81"/>
    <w:rsid w:val="00A706E0"/>
    <w:rsid w:val="00A718A3"/>
    <w:rsid w:val="00A7198D"/>
    <w:rsid w:val="00A72BD9"/>
    <w:rsid w:val="00A72F1B"/>
    <w:rsid w:val="00A74008"/>
    <w:rsid w:val="00A74141"/>
    <w:rsid w:val="00A75590"/>
    <w:rsid w:val="00A760C9"/>
    <w:rsid w:val="00A767D4"/>
    <w:rsid w:val="00A767D5"/>
    <w:rsid w:val="00A80390"/>
    <w:rsid w:val="00A80D95"/>
    <w:rsid w:val="00A811A6"/>
    <w:rsid w:val="00A81550"/>
    <w:rsid w:val="00A820B7"/>
    <w:rsid w:val="00A8307B"/>
    <w:rsid w:val="00A8331E"/>
    <w:rsid w:val="00A835C5"/>
    <w:rsid w:val="00A84BA3"/>
    <w:rsid w:val="00A860D8"/>
    <w:rsid w:val="00A86574"/>
    <w:rsid w:val="00A90124"/>
    <w:rsid w:val="00A92EFA"/>
    <w:rsid w:val="00A94273"/>
    <w:rsid w:val="00A951CB"/>
    <w:rsid w:val="00AA1F6A"/>
    <w:rsid w:val="00AA4775"/>
    <w:rsid w:val="00AA4B58"/>
    <w:rsid w:val="00AA60F4"/>
    <w:rsid w:val="00AA6457"/>
    <w:rsid w:val="00AA65BC"/>
    <w:rsid w:val="00AA6FE3"/>
    <w:rsid w:val="00AA75F7"/>
    <w:rsid w:val="00AB1E81"/>
    <w:rsid w:val="00AB2171"/>
    <w:rsid w:val="00AB2817"/>
    <w:rsid w:val="00AB29E3"/>
    <w:rsid w:val="00AB3537"/>
    <w:rsid w:val="00AB3F32"/>
    <w:rsid w:val="00AB47BD"/>
    <w:rsid w:val="00AB58D1"/>
    <w:rsid w:val="00AB58D8"/>
    <w:rsid w:val="00AB5B9A"/>
    <w:rsid w:val="00AB5BE8"/>
    <w:rsid w:val="00AB6162"/>
    <w:rsid w:val="00AB73B6"/>
    <w:rsid w:val="00AC025F"/>
    <w:rsid w:val="00AC0B25"/>
    <w:rsid w:val="00AC0CC6"/>
    <w:rsid w:val="00AC1D5B"/>
    <w:rsid w:val="00AC357F"/>
    <w:rsid w:val="00AC48F0"/>
    <w:rsid w:val="00AC56B7"/>
    <w:rsid w:val="00AC75F3"/>
    <w:rsid w:val="00AD05BE"/>
    <w:rsid w:val="00AD12E0"/>
    <w:rsid w:val="00AD13D5"/>
    <w:rsid w:val="00AD163C"/>
    <w:rsid w:val="00AD1710"/>
    <w:rsid w:val="00AD186E"/>
    <w:rsid w:val="00AD217C"/>
    <w:rsid w:val="00AD2223"/>
    <w:rsid w:val="00AD460A"/>
    <w:rsid w:val="00AD4BBE"/>
    <w:rsid w:val="00AD5967"/>
    <w:rsid w:val="00AD6FAC"/>
    <w:rsid w:val="00AE1096"/>
    <w:rsid w:val="00AE1C90"/>
    <w:rsid w:val="00AE282A"/>
    <w:rsid w:val="00AE4A96"/>
    <w:rsid w:val="00AE5E5C"/>
    <w:rsid w:val="00AE69BD"/>
    <w:rsid w:val="00AE754F"/>
    <w:rsid w:val="00AF07AE"/>
    <w:rsid w:val="00AF0A94"/>
    <w:rsid w:val="00AF1373"/>
    <w:rsid w:val="00AF2C7F"/>
    <w:rsid w:val="00AF30B3"/>
    <w:rsid w:val="00AF66C2"/>
    <w:rsid w:val="00AF6A90"/>
    <w:rsid w:val="00AF6CA4"/>
    <w:rsid w:val="00AF6F20"/>
    <w:rsid w:val="00B00089"/>
    <w:rsid w:val="00B00B92"/>
    <w:rsid w:val="00B01F6E"/>
    <w:rsid w:val="00B01F76"/>
    <w:rsid w:val="00B02152"/>
    <w:rsid w:val="00B055E7"/>
    <w:rsid w:val="00B05703"/>
    <w:rsid w:val="00B076E6"/>
    <w:rsid w:val="00B07887"/>
    <w:rsid w:val="00B10D65"/>
    <w:rsid w:val="00B12E21"/>
    <w:rsid w:val="00B12E7B"/>
    <w:rsid w:val="00B16AC0"/>
    <w:rsid w:val="00B16CC9"/>
    <w:rsid w:val="00B16F34"/>
    <w:rsid w:val="00B171C1"/>
    <w:rsid w:val="00B20233"/>
    <w:rsid w:val="00B216A7"/>
    <w:rsid w:val="00B22A4E"/>
    <w:rsid w:val="00B23317"/>
    <w:rsid w:val="00B23E7B"/>
    <w:rsid w:val="00B25150"/>
    <w:rsid w:val="00B25917"/>
    <w:rsid w:val="00B25F83"/>
    <w:rsid w:val="00B261B5"/>
    <w:rsid w:val="00B324B7"/>
    <w:rsid w:val="00B33789"/>
    <w:rsid w:val="00B34F03"/>
    <w:rsid w:val="00B41655"/>
    <w:rsid w:val="00B4270D"/>
    <w:rsid w:val="00B44093"/>
    <w:rsid w:val="00B44982"/>
    <w:rsid w:val="00B44C87"/>
    <w:rsid w:val="00B508DC"/>
    <w:rsid w:val="00B51667"/>
    <w:rsid w:val="00B524B8"/>
    <w:rsid w:val="00B54AD2"/>
    <w:rsid w:val="00B54D85"/>
    <w:rsid w:val="00B5563A"/>
    <w:rsid w:val="00B56246"/>
    <w:rsid w:val="00B61133"/>
    <w:rsid w:val="00B615FF"/>
    <w:rsid w:val="00B61FC7"/>
    <w:rsid w:val="00B647CE"/>
    <w:rsid w:val="00B65793"/>
    <w:rsid w:val="00B67EE6"/>
    <w:rsid w:val="00B67F89"/>
    <w:rsid w:val="00B72090"/>
    <w:rsid w:val="00B72704"/>
    <w:rsid w:val="00B72E9E"/>
    <w:rsid w:val="00B736E7"/>
    <w:rsid w:val="00B7467E"/>
    <w:rsid w:val="00B74E74"/>
    <w:rsid w:val="00B762BF"/>
    <w:rsid w:val="00B82934"/>
    <w:rsid w:val="00B8313F"/>
    <w:rsid w:val="00B83624"/>
    <w:rsid w:val="00B839D0"/>
    <w:rsid w:val="00B840BB"/>
    <w:rsid w:val="00B85AF0"/>
    <w:rsid w:val="00B86400"/>
    <w:rsid w:val="00B90194"/>
    <w:rsid w:val="00B9285D"/>
    <w:rsid w:val="00B9404C"/>
    <w:rsid w:val="00B94773"/>
    <w:rsid w:val="00B949EE"/>
    <w:rsid w:val="00B96630"/>
    <w:rsid w:val="00B96BF8"/>
    <w:rsid w:val="00BA0527"/>
    <w:rsid w:val="00BA074F"/>
    <w:rsid w:val="00BA0B07"/>
    <w:rsid w:val="00BA2163"/>
    <w:rsid w:val="00BA3C43"/>
    <w:rsid w:val="00BA42A5"/>
    <w:rsid w:val="00BA43AD"/>
    <w:rsid w:val="00BA44F7"/>
    <w:rsid w:val="00BA5A93"/>
    <w:rsid w:val="00BA622B"/>
    <w:rsid w:val="00BB0451"/>
    <w:rsid w:val="00BB1238"/>
    <w:rsid w:val="00BB1291"/>
    <w:rsid w:val="00BB22CC"/>
    <w:rsid w:val="00BB3EB9"/>
    <w:rsid w:val="00BB458F"/>
    <w:rsid w:val="00BB46CC"/>
    <w:rsid w:val="00BB4C63"/>
    <w:rsid w:val="00BB6BCF"/>
    <w:rsid w:val="00BB7A21"/>
    <w:rsid w:val="00BB7E72"/>
    <w:rsid w:val="00BC3A7A"/>
    <w:rsid w:val="00BC3E60"/>
    <w:rsid w:val="00BC3F81"/>
    <w:rsid w:val="00BC5A3D"/>
    <w:rsid w:val="00BC730D"/>
    <w:rsid w:val="00BC7CF6"/>
    <w:rsid w:val="00BD0E24"/>
    <w:rsid w:val="00BD203D"/>
    <w:rsid w:val="00BD229B"/>
    <w:rsid w:val="00BD2E71"/>
    <w:rsid w:val="00BD3C99"/>
    <w:rsid w:val="00BD42A4"/>
    <w:rsid w:val="00BD4E77"/>
    <w:rsid w:val="00BD58AC"/>
    <w:rsid w:val="00BD64E4"/>
    <w:rsid w:val="00BD6C75"/>
    <w:rsid w:val="00BD76FF"/>
    <w:rsid w:val="00BE2358"/>
    <w:rsid w:val="00BE2A28"/>
    <w:rsid w:val="00BE397C"/>
    <w:rsid w:val="00BE3B9F"/>
    <w:rsid w:val="00BE465B"/>
    <w:rsid w:val="00BE62F6"/>
    <w:rsid w:val="00BE77B8"/>
    <w:rsid w:val="00BE7998"/>
    <w:rsid w:val="00BF0BE6"/>
    <w:rsid w:val="00BF37EC"/>
    <w:rsid w:val="00BF52F4"/>
    <w:rsid w:val="00BF6033"/>
    <w:rsid w:val="00BF62AF"/>
    <w:rsid w:val="00BF6F99"/>
    <w:rsid w:val="00BF79BD"/>
    <w:rsid w:val="00C00C81"/>
    <w:rsid w:val="00C0154A"/>
    <w:rsid w:val="00C01C8C"/>
    <w:rsid w:val="00C01F2C"/>
    <w:rsid w:val="00C02C94"/>
    <w:rsid w:val="00C0459C"/>
    <w:rsid w:val="00C05A37"/>
    <w:rsid w:val="00C05FA2"/>
    <w:rsid w:val="00C0619B"/>
    <w:rsid w:val="00C06243"/>
    <w:rsid w:val="00C065DD"/>
    <w:rsid w:val="00C07C64"/>
    <w:rsid w:val="00C07FB4"/>
    <w:rsid w:val="00C10567"/>
    <w:rsid w:val="00C125E3"/>
    <w:rsid w:val="00C1264A"/>
    <w:rsid w:val="00C12D80"/>
    <w:rsid w:val="00C138E6"/>
    <w:rsid w:val="00C13F98"/>
    <w:rsid w:val="00C14710"/>
    <w:rsid w:val="00C14722"/>
    <w:rsid w:val="00C15AB9"/>
    <w:rsid w:val="00C16CD1"/>
    <w:rsid w:val="00C16D7B"/>
    <w:rsid w:val="00C17311"/>
    <w:rsid w:val="00C17DF5"/>
    <w:rsid w:val="00C17F60"/>
    <w:rsid w:val="00C20A1A"/>
    <w:rsid w:val="00C219CF"/>
    <w:rsid w:val="00C21F6F"/>
    <w:rsid w:val="00C229E1"/>
    <w:rsid w:val="00C2730E"/>
    <w:rsid w:val="00C32DD6"/>
    <w:rsid w:val="00C3553B"/>
    <w:rsid w:val="00C35F14"/>
    <w:rsid w:val="00C35FB6"/>
    <w:rsid w:val="00C3620B"/>
    <w:rsid w:val="00C363E2"/>
    <w:rsid w:val="00C37A53"/>
    <w:rsid w:val="00C403B4"/>
    <w:rsid w:val="00C41963"/>
    <w:rsid w:val="00C42D95"/>
    <w:rsid w:val="00C42EC4"/>
    <w:rsid w:val="00C43554"/>
    <w:rsid w:val="00C44383"/>
    <w:rsid w:val="00C45622"/>
    <w:rsid w:val="00C45E98"/>
    <w:rsid w:val="00C46092"/>
    <w:rsid w:val="00C467D5"/>
    <w:rsid w:val="00C4701E"/>
    <w:rsid w:val="00C53E4E"/>
    <w:rsid w:val="00C54142"/>
    <w:rsid w:val="00C564D1"/>
    <w:rsid w:val="00C57031"/>
    <w:rsid w:val="00C57DDF"/>
    <w:rsid w:val="00C6174D"/>
    <w:rsid w:val="00C61968"/>
    <w:rsid w:val="00C621EC"/>
    <w:rsid w:val="00C64AEA"/>
    <w:rsid w:val="00C655DD"/>
    <w:rsid w:val="00C655F2"/>
    <w:rsid w:val="00C6580B"/>
    <w:rsid w:val="00C6645B"/>
    <w:rsid w:val="00C66876"/>
    <w:rsid w:val="00C66A00"/>
    <w:rsid w:val="00C70AF6"/>
    <w:rsid w:val="00C70B6A"/>
    <w:rsid w:val="00C74E1E"/>
    <w:rsid w:val="00C75713"/>
    <w:rsid w:val="00C8100C"/>
    <w:rsid w:val="00C815EA"/>
    <w:rsid w:val="00C82BAD"/>
    <w:rsid w:val="00C857B3"/>
    <w:rsid w:val="00C86CB5"/>
    <w:rsid w:val="00C87EED"/>
    <w:rsid w:val="00C904E1"/>
    <w:rsid w:val="00C91C94"/>
    <w:rsid w:val="00C928C8"/>
    <w:rsid w:val="00C92BE3"/>
    <w:rsid w:val="00C9417C"/>
    <w:rsid w:val="00C95180"/>
    <w:rsid w:val="00C951D9"/>
    <w:rsid w:val="00C96310"/>
    <w:rsid w:val="00C964FC"/>
    <w:rsid w:val="00CA1E5D"/>
    <w:rsid w:val="00CA25C5"/>
    <w:rsid w:val="00CA440C"/>
    <w:rsid w:val="00CA497E"/>
    <w:rsid w:val="00CA7FB7"/>
    <w:rsid w:val="00CB051A"/>
    <w:rsid w:val="00CB14B2"/>
    <w:rsid w:val="00CB20B1"/>
    <w:rsid w:val="00CB23D5"/>
    <w:rsid w:val="00CB307F"/>
    <w:rsid w:val="00CB3ED6"/>
    <w:rsid w:val="00CB41B6"/>
    <w:rsid w:val="00CB5B82"/>
    <w:rsid w:val="00CB5CDD"/>
    <w:rsid w:val="00CB68E1"/>
    <w:rsid w:val="00CB6AD5"/>
    <w:rsid w:val="00CB6B10"/>
    <w:rsid w:val="00CB6C57"/>
    <w:rsid w:val="00CB755E"/>
    <w:rsid w:val="00CB7973"/>
    <w:rsid w:val="00CB7CF1"/>
    <w:rsid w:val="00CC192F"/>
    <w:rsid w:val="00CC46D7"/>
    <w:rsid w:val="00CC6556"/>
    <w:rsid w:val="00CC6579"/>
    <w:rsid w:val="00CD0139"/>
    <w:rsid w:val="00CD0893"/>
    <w:rsid w:val="00CD0CC0"/>
    <w:rsid w:val="00CD1F74"/>
    <w:rsid w:val="00CD234D"/>
    <w:rsid w:val="00CD3A5E"/>
    <w:rsid w:val="00CD3F5C"/>
    <w:rsid w:val="00CD566A"/>
    <w:rsid w:val="00CD56EC"/>
    <w:rsid w:val="00CD650E"/>
    <w:rsid w:val="00CD7FEC"/>
    <w:rsid w:val="00CE005B"/>
    <w:rsid w:val="00CE0907"/>
    <w:rsid w:val="00CE168D"/>
    <w:rsid w:val="00CE2449"/>
    <w:rsid w:val="00CE2E15"/>
    <w:rsid w:val="00CE3007"/>
    <w:rsid w:val="00CE4D33"/>
    <w:rsid w:val="00CE63B9"/>
    <w:rsid w:val="00CE6541"/>
    <w:rsid w:val="00CE7377"/>
    <w:rsid w:val="00CF133F"/>
    <w:rsid w:val="00CF302C"/>
    <w:rsid w:val="00CF311E"/>
    <w:rsid w:val="00CF5255"/>
    <w:rsid w:val="00CF52CD"/>
    <w:rsid w:val="00CF775D"/>
    <w:rsid w:val="00D049DF"/>
    <w:rsid w:val="00D04EB1"/>
    <w:rsid w:val="00D0590E"/>
    <w:rsid w:val="00D05DBD"/>
    <w:rsid w:val="00D061AB"/>
    <w:rsid w:val="00D0734C"/>
    <w:rsid w:val="00D07B89"/>
    <w:rsid w:val="00D108CB"/>
    <w:rsid w:val="00D1142A"/>
    <w:rsid w:val="00D117F1"/>
    <w:rsid w:val="00D11DAC"/>
    <w:rsid w:val="00D128A4"/>
    <w:rsid w:val="00D12F69"/>
    <w:rsid w:val="00D14CCC"/>
    <w:rsid w:val="00D15873"/>
    <w:rsid w:val="00D16643"/>
    <w:rsid w:val="00D166DD"/>
    <w:rsid w:val="00D175F6"/>
    <w:rsid w:val="00D17FD6"/>
    <w:rsid w:val="00D2029F"/>
    <w:rsid w:val="00D2094C"/>
    <w:rsid w:val="00D226D8"/>
    <w:rsid w:val="00D22F96"/>
    <w:rsid w:val="00D239C0"/>
    <w:rsid w:val="00D23B37"/>
    <w:rsid w:val="00D257C2"/>
    <w:rsid w:val="00D26AB2"/>
    <w:rsid w:val="00D27342"/>
    <w:rsid w:val="00D277C9"/>
    <w:rsid w:val="00D30F79"/>
    <w:rsid w:val="00D3232A"/>
    <w:rsid w:val="00D32945"/>
    <w:rsid w:val="00D32B5F"/>
    <w:rsid w:val="00D331D8"/>
    <w:rsid w:val="00D34611"/>
    <w:rsid w:val="00D359D4"/>
    <w:rsid w:val="00D35CEA"/>
    <w:rsid w:val="00D364BB"/>
    <w:rsid w:val="00D369A9"/>
    <w:rsid w:val="00D374EC"/>
    <w:rsid w:val="00D401AB"/>
    <w:rsid w:val="00D4097A"/>
    <w:rsid w:val="00D40E33"/>
    <w:rsid w:val="00D42B19"/>
    <w:rsid w:val="00D4335A"/>
    <w:rsid w:val="00D43F05"/>
    <w:rsid w:val="00D443CB"/>
    <w:rsid w:val="00D4602C"/>
    <w:rsid w:val="00D46A31"/>
    <w:rsid w:val="00D46CE6"/>
    <w:rsid w:val="00D4768C"/>
    <w:rsid w:val="00D512A9"/>
    <w:rsid w:val="00D5145E"/>
    <w:rsid w:val="00D5187D"/>
    <w:rsid w:val="00D519D4"/>
    <w:rsid w:val="00D51B33"/>
    <w:rsid w:val="00D52232"/>
    <w:rsid w:val="00D54FE5"/>
    <w:rsid w:val="00D56210"/>
    <w:rsid w:val="00D6136A"/>
    <w:rsid w:val="00D6424B"/>
    <w:rsid w:val="00D64F30"/>
    <w:rsid w:val="00D65668"/>
    <w:rsid w:val="00D666B4"/>
    <w:rsid w:val="00D7063E"/>
    <w:rsid w:val="00D70658"/>
    <w:rsid w:val="00D7200E"/>
    <w:rsid w:val="00D72837"/>
    <w:rsid w:val="00D7466A"/>
    <w:rsid w:val="00D749F9"/>
    <w:rsid w:val="00D74E63"/>
    <w:rsid w:val="00D75F41"/>
    <w:rsid w:val="00D7602B"/>
    <w:rsid w:val="00D76062"/>
    <w:rsid w:val="00D76258"/>
    <w:rsid w:val="00D76A3C"/>
    <w:rsid w:val="00D770B6"/>
    <w:rsid w:val="00D80D51"/>
    <w:rsid w:val="00D8165C"/>
    <w:rsid w:val="00D81838"/>
    <w:rsid w:val="00D83435"/>
    <w:rsid w:val="00D85AC2"/>
    <w:rsid w:val="00D85E01"/>
    <w:rsid w:val="00D87075"/>
    <w:rsid w:val="00D8733B"/>
    <w:rsid w:val="00D916B2"/>
    <w:rsid w:val="00D92351"/>
    <w:rsid w:val="00D92922"/>
    <w:rsid w:val="00D93C9F"/>
    <w:rsid w:val="00D93EA9"/>
    <w:rsid w:val="00D94D30"/>
    <w:rsid w:val="00D94EB4"/>
    <w:rsid w:val="00D96484"/>
    <w:rsid w:val="00D969E9"/>
    <w:rsid w:val="00D97C6A"/>
    <w:rsid w:val="00DA1213"/>
    <w:rsid w:val="00DA20B3"/>
    <w:rsid w:val="00DA2833"/>
    <w:rsid w:val="00DA3FEF"/>
    <w:rsid w:val="00DA45F1"/>
    <w:rsid w:val="00DA6258"/>
    <w:rsid w:val="00DA6534"/>
    <w:rsid w:val="00DA7F77"/>
    <w:rsid w:val="00DB0077"/>
    <w:rsid w:val="00DB3A88"/>
    <w:rsid w:val="00DB6D51"/>
    <w:rsid w:val="00DB6EC3"/>
    <w:rsid w:val="00DB7608"/>
    <w:rsid w:val="00DB79E4"/>
    <w:rsid w:val="00DB7C68"/>
    <w:rsid w:val="00DC0674"/>
    <w:rsid w:val="00DC1067"/>
    <w:rsid w:val="00DC2078"/>
    <w:rsid w:val="00DC2BEA"/>
    <w:rsid w:val="00DC35BA"/>
    <w:rsid w:val="00DC386E"/>
    <w:rsid w:val="00DC414D"/>
    <w:rsid w:val="00DC5C3F"/>
    <w:rsid w:val="00DC5E7A"/>
    <w:rsid w:val="00DC6B88"/>
    <w:rsid w:val="00DC77B0"/>
    <w:rsid w:val="00DC77EE"/>
    <w:rsid w:val="00DD0A83"/>
    <w:rsid w:val="00DD0C2E"/>
    <w:rsid w:val="00DD119C"/>
    <w:rsid w:val="00DD1490"/>
    <w:rsid w:val="00DD1C0D"/>
    <w:rsid w:val="00DD22EA"/>
    <w:rsid w:val="00DD2F6C"/>
    <w:rsid w:val="00DD436B"/>
    <w:rsid w:val="00DD4B17"/>
    <w:rsid w:val="00DD5C61"/>
    <w:rsid w:val="00DD6032"/>
    <w:rsid w:val="00DD60F2"/>
    <w:rsid w:val="00DD67E6"/>
    <w:rsid w:val="00DD69AB"/>
    <w:rsid w:val="00DD6AC3"/>
    <w:rsid w:val="00DD71CD"/>
    <w:rsid w:val="00DD7979"/>
    <w:rsid w:val="00DD7FC8"/>
    <w:rsid w:val="00DE011D"/>
    <w:rsid w:val="00DE0515"/>
    <w:rsid w:val="00DE1BAD"/>
    <w:rsid w:val="00DE249A"/>
    <w:rsid w:val="00DE2962"/>
    <w:rsid w:val="00DF01DD"/>
    <w:rsid w:val="00DF091A"/>
    <w:rsid w:val="00DF12D8"/>
    <w:rsid w:val="00DF1952"/>
    <w:rsid w:val="00DF28D0"/>
    <w:rsid w:val="00DF3E1B"/>
    <w:rsid w:val="00DF4A8A"/>
    <w:rsid w:val="00DF5315"/>
    <w:rsid w:val="00DF60A2"/>
    <w:rsid w:val="00E000F7"/>
    <w:rsid w:val="00E004F2"/>
    <w:rsid w:val="00E00659"/>
    <w:rsid w:val="00E0123D"/>
    <w:rsid w:val="00E019FB"/>
    <w:rsid w:val="00E0265A"/>
    <w:rsid w:val="00E02DC8"/>
    <w:rsid w:val="00E036CC"/>
    <w:rsid w:val="00E03E42"/>
    <w:rsid w:val="00E03EBA"/>
    <w:rsid w:val="00E06859"/>
    <w:rsid w:val="00E06868"/>
    <w:rsid w:val="00E06A60"/>
    <w:rsid w:val="00E076D0"/>
    <w:rsid w:val="00E07D29"/>
    <w:rsid w:val="00E10966"/>
    <w:rsid w:val="00E136DF"/>
    <w:rsid w:val="00E144C7"/>
    <w:rsid w:val="00E14FBF"/>
    <w:rsid w:val="00E15EE7"/>
    <w:rsid w:val="00E16006"/>
    <w:rsid w:val="00E16748"/>
    <w:rsid w:val="00E1714F"/>
    <w:rsid w:val="00E21214"/>
    <w:rsid w:val="00E226F5"/>
    <w:rsid w:val="00E22DDE"/>
    <w:rsid w:val="00E23736"/>
    <w:rsid w:val="00E24B10"/>
    <w:rsid w:val="00E24E3F"/>
    <w:rsid w:val="00E268E6"/>
    <w:rsid w:val="00E279A2"/>
    <w:rsid w:val="00E27B85"/>
    <w:rsid w:val="00E32027"/>
    <w:rsid w:val="00E33529"/>
    <w:rsid w:val="00E342CA"/>
    <w:rsid w:val="00E34FA2"/>
    <w:rsid w:val="00E36240"/>
    <w:rsid w:val="00E40BA0"/>
    <w:rsid w:val="00E4230D"/>
    <w:rsid w:val="00E4259C"/>
    <w:rsid w:val="00E42904"/>
    <w:rsid w:val="00E434CE"/>
    <w:rsid w:val="00E45D8B"/>
    <w:rsid w:val="00E4600D"/>
    <w:rsid w:val="00E502AC"/>
    <w:rsid w:val="00E54231"/>
    <w:rsid w:val="00E548E2"/>
    <w:rsid w:val="00E54B02"/>
    <w:rsid w:val="00E554A0"/>
    <w:rsid w:val="00E55F37"/>
    <w:rsid w:val="00E6033C"/>
    <w:rsid w:val="00E61FC7"/>
    <w:rsid w:val="00E622E8"/>
    <w:rsid w:val="00E62A1E"/>
    <w:rsid w:val="00E63608"/>
    <w:rsid w:val="00E643A4"/>
    <w:rsid w:val="00E65266"/>
    <w:rsid w:val="00E71733"/>
    <w:rsid w:val="00E71CF4"/>
    <w:rsid w:val="00E72F06"/>
    <w:rsid w:val="00E73A35"/>
    <w:rsid w:val="00E7728D"/>
    <w:rsid w:val="00E77B7C"/>
    <w:rsid w:val="00E80279"/>
    <w:rsid w:val="00E80F0E"/>
    <w:rsid w:val="00E828E4"/>
    <w:rsid w:val="00E83C1E"/>
    <w:rsid w:val="00E84174"/>
    <w:rsid w:val="00E84E7C"/>
    <w:rsid w:val="00E85FBB"/>
    <w:rsid w:val="00E8682C"/>
    <w:rsid w:val="00E87E1F"/>
    <w:rsid w:val="00E90384"/>
    <w:rsid w:val="00E90A3F"/>
    <w:rsid w:val="00E92125"/>
    <w:rsid w:val="00E92E7F"/>
    <w:rsid w:val="00E93392"/>
    <w:rsid w:val="00E95D2A"/>
    <w:rsid w:val="00E95E5E"/>
    <w:rsid w:val="00E9650E"/>
    <w:rsid w:val="00E96528"/>
    <w:rsid w:val="00E96E06"/>
    <w:rsid w:val="00E96F20"/>
    <w:rsid w:val="00EA0C5E"/>
    <w:rsid w:val="00EA0EED"/>
    <w:rsid w:val="00EA1AFF"/>
    <w:rsid w:val="00EA2B10"/>
    <w:rsid w:val="00EA3DB8"/>
    <w:rsid w:val="00EA425C"/>
    <w:rsid w:val="00EA4495"/>
    <w:rsid w:val="00EA4E2A"/>
    <w:rsid w:val="00EA5667"/>
    <w:rsid w:val="00EA5724"/>
    <w:rsid w:val="00EA6229"/>
    <w:rsid w:val="00EB019C"/>
    <w:rsid w:val="00EB359A"/>
    <w:rsid w:val="00EB41C9"/>
    <w:rsid w:val="00EB4F5B"/>
    <w:rsid w:val="00EB69D1"/>
    <w:rsid w:val="00EB6F0C"/>
    <w:rsid w:val="00EC12FF"/>
    <w:rsid w:val="00EC2FAC"/>
    <w:rsid w:val="00EC38D7"/>
    <w:rsid w:val="00EC59AA"/>
    <w:rsid w:val="00EC6C59"/>
    <w:rsid w:val="00EC6C83"/>
    <w:rsid w:val="00EC6F7B"/>
    <w:rsid w:val="00EC7CBB"/>
    <w:rsid w:val="00EC7F96"/>
    <w:rsid w:val="00ED0A35"/>
    <w:rsid w:val="00ED0D90"/>
    <w:rsid w:val="00ED0E33"/>
    <w:rsid w:val="00ED127F"/>
    <w:rsid w:val="00ED236E"/>
    <w:rsid w:val="00ED3F84"/>
    <w:rsid w:val="00ED586C"/>
    <w:rsid w:val="00EE0E63"/>
    <w:rsid w:val="00EE1C5F"/>
    <w:rsid w:val="00EE210E"/>
    <w:rsid w:val="00EE3308"/>
    <w:rsid w:val="00EE38C7"/>
    <w:rsid w:val="00EE3A12"/>
    <w:rsid w:val="00EE42DC"/>
    <w:rsid w:val="00EE4EE1"/>
    <w:rsid w:val="00EE5294"/>
    <w:rsid w:val="00EE5C35"/>
    <w:rsid w:val="00EE71E7"/>
    <w:rsid w:val="00EF010B"/>
    <w:rsid w:val="00EF127E"/>
    <w:rsid w:val="00EF1615"/>
    <w:rsid w:val="00EF171D"/>
    <w:rsid w:val="00EF1801"/>
    <w:rsid w:val="00EF2BE8"/>
    <w:rsid w:val="00EF36EC"/>
    <w:rsid w:val="00EF5859"/>
    <w:rsid w:val="00EF5F29"/>
    <w:rsid w:val="00EF6450"/>
    <w:rsid w:val="00EF6DD6"/>
    <w:rsid w:val="00EF6F54"/>
    <w:rsid w:val="00EF7258"/>
    <w:rsid w:val="00EF72CD"/>
    <w:rsid w:val="00EF745A"/>
    <w:rsid w:val="00EF77B0"/>
    <w:rsid w:val="00F009A8"/>
    <w:rsid w:val="00F00C80"/>
    <w:rsid w:val="00F0122F"/>
    <w:rsid w:val="00F02E5B"/>
    <w:rsid w:val="00F03180"/>
    <w:rsid w:val="00F04032"/>
    <w:rsid w:val="00F040E8"/>
    <w:rsid w:val="00F04CDB"/>
    <w:rsid w:val="00F062B0"/>
    <w:rsid w:val="00F07603"/>
    <w:rsid w:val="00F10627"/>
    <w:rsid w:val="00F1131D"/>
    <w:rsid w:val="00F12092"/>
    <w:rsid w:val="00F12A1B"/>
    <w:rsid w:val="00F136FA"/>
    <w:rsid w:val="00F13BC6"/>
    <w:rsid w:val="00F14313"/>
    <w:rsid w:val="00F150D7"/>
    <w:rsid w:val="00F155C3"/>
    <w:rsid w:val="00F15824"/>
    <w:rsid w:val="00F16323"/>
    <w:rsid w:val="00F16457"/>
    <w:rsid w:val="00F16585"/>
    <w:rsid w:val="00F201CB"/>
    <w:rsid w:val="00F21106"/>
    <w:rsid w:val="00F218ED"/>
    <w:rsid w:val="00F21A43"/>
    <w:rsid w:val="00F21B6C"/>
    <w:rsid w:val="00F24C9B"/>
    <w:rsid w:val="00F27469"/>
    <w:rsid w:val="00F30C71"/>
    <w:rsid w:val="00F32110"/>
    <w:rsid w:val="00F3281C"/>
    <w:rsid w:val="00F338C1"/>
    <w:rsid w:val="00F34166"/>
    <w:rsid w:val="00F3433E"/>
    <w:rsid w:val="00F345F9"/>
    <w:rsid w:val="00F35663"/>
    <w:rsid w:val="00F35B15"/>
    <w:rsid w:val="00F40025"/>
    <w:rsid w:val="00F40871"/>
    <w:rsid w:val="00F417C7"/>
    <w:rsid w:val="00F41F3E"/>
    <w:rsid w:val="00F427AE"/>
    <w:rsid w:val="00F44B07"/>
    <w:rsid w:val="00F45200"/>
    <w:rsid w:val="00F45CC7"/>
    <w:rsid w:val="00F47838"/>
    <w:rsid w:val="00F500E0"/>
    <w:rsid w:val="00F53D67"/>
    <w:rsid w:val="00F5431E"/>
    <w:rsid w:val="00F5434A"/>
    <w:rsid w:val="00F54735"/>
    <w:rsid w:val="00F54E94"/>
    <w:rsid w:val="00F565A3"/>
    <w:rsid w:val="00F5673D"/>
    <w:rsid w:val="00F57933"/>
    <w:rsid w:val="00F61313"/>
    <w:rsid w:val="00F61A33"/>
    <w:rsid w:val="00F640FA"/>
    <w:rsid w:val="00F642DD"/>
    <w:rsid w:val="00F6588F"/>
    <w:rsid w:val="00F65C3A"/>
    <w:rsid w:val="00F67024"/>
    <w:rsid w:val="00F67A40"/>
    <w:rsid w:val="00F710B5"/>
    <w:rsid w:val="00F713AD"/>
    <w:rsid w:val="00F71927"/>
    <w:rsid w:val="00F71FA5"/>
    <w:rsid w:val="00F72BCA"/>
    <w:rsid w:val="00F72CD4"/>
    <w:rsid w:val="00F740ED"/>
    <w:rsid w:val="00F7456F"/>
    <w:rsid w:val="00F74FE0"/>
    <w:rsid w:val="00F77340"/>
    <w:rsid w:val="00F77A36"/>
    <w:rsid w:val="00F77B4F"/>
    <w:rsid w:val="00F8026F"/>
    <w:rsid w:val="00F80272"/>
    <w:rsid w:val="00F8144A"/>
    <w:rsid w:val="00F82370"/>
    <w:rsid w:val="00F82990"/>
    <w:rsid w:val="00F82BDE"/>
    <w:rsid w:val="00F8359E"/>
    <w:rsid w:val="00F840F7"/>
    <w:rsid w:val="00F85830"/>
    <w:rsid w:val="00F85C3A"/>
    <w:rsid w:val="00F875A4"/>
    <w:rsid w:val="00F90FE9"/>
    <w:rsid w:val="00F913D2"/>
    <w:rsid w:val="00F917B2"/>
    <w:rsid w:val="00F92383"/>
    <w:rsid w:val="00F926C8"/>
    <w:rsid w:val="00F95654"/>
    <w:rsid w:val="00F95BFF"/>
    <w:rsid w:val="00F95F74"/>
    <w:rsid w:val="00F97679"/>
    <w:rsid w:val="00F977B6"/>
    <w:rsid w:val="00FA02BB"/>
    <w:rsid w:val="00FA0D5D"/>
    <w:rsid w:val="00FA11F1"/>
    <w:rsid w:val="00FA290A"/>
    <w:rsid w:val="00FA35FE"/>
    <w:rsid w:val="00FA5526"/>
    <w:rsid w:val="00FA5FA2"/>
    <w:rsid w:val="00FB17FC"/>
    <w:rsid w:val="00FB1B77"/>
    <w:rsid w:val="00FB1E94"/>
    <w:rsid w:val="00FB380C"/>
    <w:rsid w:val="00FB38A5"/>
    <w:rsid w:val="00FB3F7E"/>
    <w:rsid w:val="00FB59CA"/>
    <w:rsid w:val="00FB5BE7"/>
    <w:rsid w:val="00FB7C41"/>
    <w:rsid w:val="00FC1A8F"/>
    <w:rsid w:val="00FC1B65"/>
    <w:rsid w:val="00FC2906"/>
    <w:rsid w:val="00FC2AE1"/>
    <w:rsid w:val="00FC2CD4"/>
    <w:rsid w:val="00FC2F6C"/>
    <w:rsid w:val="00FC307D"/>
    <w:rsid w:val="00FC325A"/>
    <w:rsid w:val="00FC395C"/>
    <w:rsid w:val="00FC4D39"/>
    <w:rsid w:val="00FC56B0"/>
    <w:rsid w:val="00FD0E5F"/>
    <w:rsid w:val="00FD1050"/>
    <w:rsid w:val="00FD1CDC"/>
    <w:rsid w:val="00FD4C88"/>
    <w:rsid w:val="00FD4F35"/>
    <w:rsid w:val="00FD575B"/>
    <w:rsid w:val="00FD5B6D"/>
    <w:rsid w:val="00FD69DC"/>
    <w:rsid w:val="00FD6D21"/>
    <w:rsid w:val="00FD73A4"/>
    <w:rsid w:val="00FD7E37"/>
    <w:rsid w:val="00FD7EED"/>
    <w:rsid w:val="00FE1415"/>
    <w:rsid w:val="00FE1C7D"/>
    <w:rsid w:val="00FE37DA"/>
    <w:rsid w:val="00FE4BF8"/>
    <w:rsid w:val="00FE543D"/>
    <w:rsid w:val="00FE61F5"/>
    <w:rsid w:val="00FE7127"/>
    <w:rsid w:val="00FE73AF"/>
    <w:rsid w:val="00FF1373"/>
    <w:rsid w:val="00FF264A"/>
    <w:rsid w:val="00FF2D5C"/>
    <w:rsid w:val="00FF3608"/>
    <w:rsid w:val="00FF3A0A"/>
    <w:rsid w:val="00FF3C44"/>
    <w:rsid w:val="00FF3DD2"/>
    <w:rsid w:val="00FF4C70"/>
    <w:rsid w:val="00FF537F"/>
    <w:rsid w:val="00FF5C3F"/>
    <w:rsid w:val="00FF75E1"/>
    <w:rsid w:val="00FF787E"/>
    <w:rsid w:val="00FF78B2"/>
    <w:rsid w:val="00FF7CC2"/>
    <w:rsid w:val="00FF7DF6"/>
    <w:rsid w:val="0134D108"/>
    <w:rsid w:val="013ABBDE"/>
    <w:rsid w:val="013BEF8F"/>
    <w:rsid w:val="014F8824"/>
    <w:rsid w:val="0179F81E"/>
    <w:rsid w:val="01E8E86A"/>
    <w:rsid w:val="021A848C"/>
    <w:rsid w:val="022C3155"/>
    <w:rsid w:val="0237CCAF"/>
    <w:rsid w:val="028BF782"/>
    <w:rsid w:val="029C3EF2"/>
    <w:rsid w:val="02A0811C"/>
    <w:rsid w:val="02AEE5AC"/>
    <w:rsid w:val="02FD108D"/>
    <w:rsid w:val="035F4B18"/>
    <w:rsid w:val="035FF3DF"/>
    <w:rsid w:val="03D9FB13"/>
    <w:rsid w:val="0406C0A6"/>
    <w:rsid w:val="040C4C30"/>
    <w:rsid w:val="044778E5"/>
    <w:rsid w:val="04AFF4F2"/>
    <w:rsid w:val="04D80353"/>
    <w:rsid w:val="04DFC8AA"/>
    <w:rsid w:val="04F24B58"/>
    <w:rsid w:val="05196020"/>
    <w:rsid w:val="05575538"/>
    <w:rsid w:val="056550EE"/>
    <w:rsid w:val="05677402"/>
    <w:rsid w:val="05A10B78"/>
    <w:rsid w:val="0603D4C7"/>
    <w:rsid w:val="0614D04B"/>
    <w:rsid w:val="0652592A"/>
    <w:rsid w:val="066490AC"/>
    <w:rsid w:val="06A4EF63"/>
    <w:rsid w:val="0709AE79"/>
    <w:rsid w:val="0719B761"/>
    <w:rsid w:val="074BCA6B"/>
    <w:rsid w:val="0757251E"/>
    <w:rsid w:val="075C8402"/>
    <w:rsid w:val="076A0600"/>
    <w:rsid w:val="0794E3C2"/>
    <w:rsid w:val="07CF5AE5"/>
    <w:rsid w:val="07D06EA2"/>
    <w:rsid w:val="07F03FDB"/>
    <w:rsid w:val="07F22C44"/>
    <w:rsid w:val="081901CB"/>
    <w:rsid w:val="08498B98"/>
    <w:rsid w:val="0849D5A0"/>
    <w:rsid w:val="08599256"/>
    <w:rsid w:val="086E752F"/>
    <w:rsid w:val="0879E231"/>
    <w:rsid w:val="0883477F"/>
    <w:rsid w:val="0944F82C"/>
    <w:rsid w:val="0954A8D3"/>
    <w:rsid w:val="09959039"/>
    <w:rsid w:val="09A84559"/>
    <w:rsid w:val="09CA995C"/>
    <w:rsid w:val="09E38514"/>
    <w:rsid w:val="09FAFA7D"/>
    <w:rsid w:val="0A0B8941"/>
    <w:rsid w:val="0A18B397"/>
    <w:rsid w:val="0A4C2566"/>
    <w:rsid w:val="0A7FC4E7"/>
    <w:rsid w:val="0AA17BDE"/>
    <w:rsid w:val="0ACF62B9"/>
    <w:rsid w:val="0AE5FB63"/>
    <w:rsid w:val="0AE9E629"/>
    <w:rsid w:val="0B80F66E"/>
    <w:rsid w:val="0BBBED82"/>
    <w:rsid w:val="0BE07FDE"/>
    <w:rsid w:val="0C14C529"/>
    <w:rsid w:val="0C4FFE3F"/>
    <w:rsid w:val="0CF562B0"/>
    <w:rsid w:val="0D0625F3"/>
    <w:rsid w:val="0D0F8D21"/>
    <w:rsid w:val="0D2643B1"/>
    <w:rsid w:val="0D41995A"/>
    <w:rsid w:val="0DD4477A"/>
    <w:rsid w:val="0DFA524F"/>
    <w:rsid w:val="0E675B18"/>
    <w:rsid w:val="0E74C121"/>
    <w:rsid w:val="0EB3B879"/>
    <w:rsid w:val="0ED0CD5C"/>
    <w:rsid w:val="0F0D01D1"/>
    <w:rsid w:val="0F167011"/>
    <w:rsid w:val="0F1BBF8A"/>
    <w:rsid w:val="0F25142F"/>
    <w:rsid w:val="0F6DE3AB"/>
    <w:rsid w:val="0FB32C33"/>
    <w:rsid w:val="0FE62082"/>
    <w:rsid w:val="109616EA"/>
    <w:rsid w:val="10B9F866"/>
    <w:rsid w:val="10BA2B71"/>
    <w:rsid w:val="10CB3F42"/>
    <w:rsid w:val="111CBBB2"/>
    <w:rsid w:val="1121FB4D"/>
    <w:rsid w:val="11438CEA"/>
    <w:rsid w:val="11619CE6"/>
    <w:rsid w:val="11775683"/>
    <w:rsid w:val="11B6AFF2"/>
    <w:rsid w:val="12183C14"/>
    <w:rsid w:val="121967EA"/>
    <w:rsid w:val="12795CAD"/>
    <w:rsid w:val="127CC772"/>
    <w:rsid w:val="12BDDA85"/>
    <w:rsid w:val="12D34631"/>
    <w:rsid w:val="13231BBD"/>
    <w:rsid w:val="13247922"/>
    <w:rsid w:val="1376E20B"/>
    <w:rsid w:val="137F54D9"/>
    <w:rsid w:val="13A97EBC"/>
    <w:rsid w:val="13C0BE5D"/>
    <w:rsid w:val="13C26E05"/>
    <w:rsid w:val="13D7A2C6"/>
    <w:rsid w:val="1420AF78"/>
    <w:rsid w:val="146F794C"/>
    <w:rsid w:val="1483A5D0"/>
    <w:rsid w:val="14B2F847"/>
    <w:rsid w:val="14DC1882"/>
    <w:rsid w:val="15751603"/>
    <w:rsid w:val="15B4033B"/>
    <w:rsid w:val="15C7963D"/>
    <w:rsid w:val="15CD4959"/>
    <w:rsid w:val="16154086"/>
    <w:rsid w:val="16414AB0"/>
    <w:rsid w:val="166B2C1B"/>
    <w:rsid w:val="167678B3"/>
    <w:rsid w:val="1724A008"/>
    <w:rsid w:val="1734F3CD"/>
    <w:rsid w:val="176F6EAD"/>
    <w:rsid w:val="179C4321"/>
    <w:rsid w:val="17DA8AC9"/>
    <w:rsid w:val="18011C26"/>
    <w:rsid w:val="18FEC9AB"/>
    <w:rsid w:val="1913D775"/>
    <w:rsid w:val="192A34B7"/>
    <w:rsid w:val="1984267B"/>
    <w:rsid w:val="1988571A"/>
    <w:rsid w:val="19B8BA36"/>
    <w:rsid w:val="19F32E09"/>
    <w:rsid w:val="1A22D142"/>
    <w:rsid w:val="1A2E992E"/>
    <w:rsid w:val="1A4F1C8B"/>
    <w:rsid w:val="1A84AA69"/>
    <w:rsid w:val="1B0C1CFA"/>
    <w:rsid w:val="1B28000D"/>
    <w:rsid w:val="1BA82918"/>
    <w:rsid w:val="1C1C96E6"/>
    <w:rsid w:val="1C376BBF"/>
    <w:rsid w:val="1C8BF109"/>
    <w:rsid w:val="1CAE1711"/>
    <w:rsid w:val="1CB3D9B7"/>
    <w:rsid w:val="1CCFBCC7"/>
    <w:rsid w:val="1CDF1486"/>
    <w:rsid w:val="1CF96E10"/>
    <w:rsid w:val="1D081D84"/>
    <w:rsid w:val="1D09E57B"/>
    <w:rsid w:val="1D1E8B1F"/>
    <w:rsid w:val="1D90B7D4"/>
    <w:rsid w:val="1DCA4FC1"/>
    <w:rsid w:val="1DCF7286"/>
    <w:rsid w:val="1E2F1A90"/>
    <w:rsid w:val="1E45F38D"/>
    <w:rsid w:val="1E5C7EFB"/>
    <w:rsid w:val="1F0063C2"/>
    <w:rsid w:val="1F84DA70"/>
    <w:rsid w:val="1FD5B7F0"/>
    <w:rsid w:val="2047CAAB"/>
    <w:rsid w:val="205E7A05"/>
    <w:rsid w:val="2069D95A"/>
    <w:rsid w:val="208E7DB0"/>
    <w:rsid w:val="20B6C0FF"/>
    <w:rsid w:val="20DFD1F0"/>
    <w:rsid w:val="213295CB"/>
    <w:rsid w:val="2189460E"/>
    <w:rsid w:val="21954D5C"/>
    <w:rsid w:val="21C8CBF1"/>
    <w:rsid w:val="220F5D20"/>
    <w:rsid w:val="223E89F8"/>
    <w:rsid w:val="224038AC"/>
    <w:rsid w:val="2249A2D3"/>
    <w:rsid w:val="22542636"/>
    <w:rsid w:val="229F90F6"/>
    <w:rsid w:val="22FB328D"/>
    <w:rsid w:val="22FCA6DA"/>
    <w:rsid w:val="230FFA0A"/>
    <w:rsid w:val="231BED66"/>
    <w:rsid w:val="232522DA"/>
    <w:rsid w:val="2395916A"/>
    <w:rsid w:val="23D49E33"/>
    <w:rsid w:val="243A9AD1"/>
    <w:rsid w:val="245A1EB3"/>
    <w:rsid w:val="24E89250"/>
    <w:rsid w:val="2519692D"/>
    <w:rsid w:val="253F6E12"/>
    <w:rsid w:val="258335BD"/>
    <w:rsid w:val="25998632"/>
    <w:rsid w:val="25A132DE"/>
    <w:rsid w:val="25BA8D3D"/>
    <w:rsid w:val="25CA0E37"/>
    <w:rsid w:val="26391BB0"/>
    <w:rsid w:val="265E0299"/>
    <w:rsid w:val="269372FD"/>
    <w:rsid w:val="269AE1DF"/>
    <w:rsid w:val="26B73C1F"/>
    <w:rsid w:val="270E29C4"/>
    <w:rsid w:val="270FC53E"/>
    <w:rsid w:val="272F7526"/>
    <w:rsid w:val="2757B50C"/>
    <w:rsid w:val="27618555"/>
    <w:rsid w:val="277EB733"/>
    <w:rsid w:val="27993E44"/>
    <w:rsid w:val="279E5006"/>
    <w:rsid w:val="27B87E8A"/>
    <w:rsid w:val="27F68C5E"/>
    <w:rsid w:val="280A1169"/>
    <w:rsid w:val="2833D7E1"/>
    <w:rsid w:val="283CE1E6"/>
    <w:rsid w:val="287AE8FF"/>
    <w:rsid w:val="287FE9B8"/>
    <w:rsid w:val="28A8A461"/>
    <w:rsid w:val="28D126F4"/>
    <w:rsid w:val="28DBD4E8"/>
    <w:rsid w:val="293D23A1"/>
    <w:rsid w:val="299BD249"/>
    <w:rsid w:val="29D2EA71"/>
    <w:rsid w:val="29EE925F"/>
    <w:rsid w:val="2A0C8DA7"/>
    <w:rsid w:val="2AAE1A6E"/>
    <w:rsid w:val="2AC3BDBA"/>
    <w:rsid w:val="2ACB0A06"/>
    <w:rsid w:val="2B37A2AA"/>
    <w:rsid w:val="2BA7466D"/>
    <w:rsid w:val="2BB45C58"/>
    <w:rsid w:val="2BB63F66"/>
    <w:rsid w:val="2BCBDE16"/>
    <w:rsid w:val="2C541B4E"/>
    <w:rsid w:val="2C969F1C"/>
    <w:rsid w:val="2CA9A74F"/>
    <w:rsid w:val="2CBC6E39"/>
    <w:rsid w:val="2CFFADFE"/>
    <w:rsid w:val="2D0221CB"/>
    <w:rsid w:val="2D2DDBF0"/>
    <w:rsid w:val="2D7CC84E"/>
    <w:rsid w:val="2D9F0CDF"/>
    <w:rsid w:val="2DD00A3F"/>
    <w:rsid w:val="2E0E0149"/>
    <w:rsid w:val="2E17F47E"/>
    <w:rsid w:val="2E556C28"/>
    <w:rsid w:val="2E69776F"/>
    <w:rsid w:val="2E8F6920"/>
    <w:rsid w:val="2EBF677A"/>
    <w:rsid w:val="2ED15F5E"/>
    <w:rsid w:val="2F181D51"/>
    <w:rsid w:val="2F7B92FC"/>
    <w:rsid w:val="2F98AF1E"/>
    <w:rsid w:val="301AF15A"/>
    <w:rsid w:val="306EA886"/>
    <w:rsid w:val="3071FA7B"/>
    <w:rsid w:val="30774649"/>
    <w:rsid w:val="309A0612"/>
    <w:rsid w:val="30B5ED65"/>
    <w:rsid w:val="30DAB59D"/>
    <w:rsid w:val="30DB3EB6"/>
    <w:rsid w:val="30EB7F27"/>
    <w:rsid w:val="31363792"/>
    <w:rsid w:val="31A1E073"/>
    <w:rsid w:val="31C7D18F"/>
    <w:rsid w:val="31E43327"/>
    <w:rsid w:val="31F2AEE3"/>
    <w:rsid w:val="3263550A"/>
    <w:rsid w:val="328961EC"/>
    <w:rsid w:val="328E4CEB"/>
    <w:rsid w:val="32D862F9"/>
    <w:rsid w:val="32FF870C"/>
    <w:rsid w:val="32FFF736"/>
    <w:rsid w:val="3309CB72"/>
    <w:rsid w:val="331AE404"/>
    <w:rsid w:val="33412C8B"/>
    <w:rsid w:val="335D4166"/>
    <w:rsid w:val="339A4790"/>
    <w:rsid w:val="33D1EE5A"/>
    <w:rsid w:val="3402EFB1"/>
    <w:rsid w:val="342C2CE8"/>
    <w:rsid w:val="3430F72B"/>
    <w:rsid w:val="34427751"/>
    <w:rsid w:val="3457A295"/>
    <w:rsid w:val="3459402F"/>
    <w:rsid w:val="346BF562"/>
    <w:rsid w:val="3489320F"/>
    <w:rsid w:val="349FA650"/>
    <w:rsid w:val="34CCF7C3"/>
    <w:rsid w:val="34DCFCEC"/>
    <w:rsid w:val="34DECB5B"/>
    <w:rsid w:val="350F1689"/>
    <w:rsid w:val="351E07E0"/>
    <w:rsid w:val="351F07BA"/>
    <w:rsid w:val="35263A4B"/>
    <w:rsid w:val="352A4FA5"/>
    <w:rsid w:val="3545D607"/>
    <w:rsid w:val="35BD90AF"/>
    <w:rsid w:val="364DFA8D"/>
    <w:rsid w:val="36AFB931"/>
    <w:rsid w:val="36C11896"/>
    <w:rsid w:val="36D3CD22"/>
    <w:rsid w:val="370C8260"/>
    <w:rsid w:val="372391AF"/>
    <w:rsid w:val="3725346A"/>
    <w:rsid w:val="374418B8"/>
    <w:rsid w:val="375367E3"/>
    <w:rsid w:val="37571AF6"/>
    <w:rsid w:val="376CC2B5"/>
    <w:rsid w:val="37F73ED5"/>
    <w:rsid w:val="38007977"/>
    <w:rsid w:val="3811D264"/>
    <w:rsid w:val="383ED8C6"/>
    <w:rsid w:val="385F63FC"/>
    <w:rsid w:val="388DC3BE"/>
    <w:rsid w:val="38C05F65"/>
    <w:rsid w:val="38D128B4"/>
    <w:rsid w:val="38E92D78"/>
    <w:rsid w:val="38EB9FDF"/>
    <w:rsid w:val="38FD5901"/>
    <w:rsid w:val="3925892F"/>
    <w:rsid w:val="393B4527"/>
    <w:rsid w:val="39737A62"/>
    <w:rsid w:val="39B13E2F"/>
    <w:rsid w:val="39D977B3"/>
    <w:rsid w:val="3A431A9D"/>
    <w:rsid w:val="3A64788B"/>
    <w:rsid w:val="3A831B1F"/>
    <w:rsid w:val="3A90038D"/>
    <w:rsid w:val="3A997EBA"/>
    <w:rsid w:val="3ACFE57D"/>
    <w:rsid w:val="3B4D7C13"/>
    <w:rsid w:val="3B7F4DE8"/>
    <w:rsid w:val="3BC4ACE1"/>
    <w:rsid w:val="3BC91643"/>
    <w:rsid w:val="3BED1969"/>
    <w:rsid w:val="3BF49A5A"/>
    <w:rsid w:val="3C1EEB80"/>
    <w:rsid w:val="3D5B11BC"/>
    <w:rsid w:val="3D67CE64"/>
    <w:rsid w:val="3D839DCB"/>
    <w:rsid w:val="3D9C5973"/>
    <w:rsid w:val="3DCB4E7C"/>
    <w:rsid w:val="3DD45268"/>
    <w:rsid w:val="3E824BD9"/>
    <w:rsid w:val="3EEAFCAB"/>
    <w:rsid w:val="3FA3DB4A"/>
    <w:rsid w:val="3FA7D427"/>
    <w:rsid w:val="3FA88BAA"/>
    <w:rsid w:val="3FBBBE6C"/>
    <w:rsid w:val="3FC8CB8A"/>
    <w:rsid w:val="3FD12E4B"/>
    <w:rsid w:val="3FF8258F"/>
    <w:rsid w:val="4011B11A"/>
    <w:rsid w:val="401EDD4F"/>
    <w:rsid w:val="403833EC"/>
    <w:rsid w:val="403D65B4"/>
    <w:rsid w:val="4041079B"/>
    <w:rsid w:val="40CFE7F2"/>
    <w:rsid w:val="40D966C2"/>
    <w:rsid w:val="40E121CC"/>
    <w:rsid w:val="40FA4A29"/>
    <w:rsid w:val="4125F625"/>
    <w:rsid w:val="412C03BD"/>
    <w:rsid w:val="4131067C"/>
    <w:rsid w:val="41914D4D"/>
    <w:rsid w:val="41BB7FF4"/>
    <w:rsid w:val="41D90536"/>
    <w:rsid w:val="42157B88"/>
    <w:rsid w:val="4215F09C"/>
    <w:rsid w:val="425088BC"/>
    <w:rsid w:val="42866486"/>
    <w:rsid w:val="4293C493"/>
    <w:rsid w:val="42C020AA"/>
    <w:rsid w:val="43689BCE"/>
    <w:rsid w:val="43A3CE00"/>
    <w:rsid w:val="43B8312D"/>
    <w:rsid w:val="43F80021"/>
    <w:rsid w:val="441170E2"/>
    <w:rsid w:val="4431EAEB"/>
    <w:rsid w:val="4474CAB6"/>
    <w:rsid w:val="449DBE2D"/>
    <w:rsid w:val="44C06F0A"/>
    <w:rsid w:val="44D44E81"/>
    <w:rsid w:val="45152D5D"/>
    <w:rsid w:val="4530EA3C"/>
    <w:rsid w:val="4539A12D"/>
    <w:rsid w:val="45E6D382"/>
    <w:rsid w:val="460641D3"/>
    <w:rsid w:val="4681E1B5"/>
    <w:rsid w:val="46E76E2D"/>
    <w:rsid w:val="4731BC24"/>
    <w:rsid w:val="47DF8DB9"/>
    <w:rsid w:val="4802D99F"/>
    <w:rsid w:val="48343702"/>
    <w:rsid w:val="483A756A"/>
    <w:rsid w:val="486C5774"/>
    <w:rsid w:val="486F104B"/>
    <w:rsid w:val="48B6081E"/>
    <w:rsid w:val="4922E9EF"/>
    <w:rsid w:val="49454674"/>
    <w:rsid w:val="49478E0F"/>
    <w:rsid w:val="4949AEE2"/>
    <w:rsid w:val="4959588F"/>
    <w:rsid w:val="49AA999C"/>
    <w:rsid w:val="4A677ECC"/>
    <w:rsid w:val="4B08C264"/>
    <w:rsid w:val="4B48C495"/>
    <w:rsid w:val="4B52957B"/>
    <w:rsid w:val="4B530658"/>
    <w:rsid w:val="4B66A40F"/>
    <w:rsid w:val="4BD685BA"/>
    <w:rsid w:val="4BF17C27"/>
    <w:rsid w:val="4C160DBA"/>
    <w:rsid w:val="4CD78408"/>
    <w:rsid w:val="4D29FB2B"/>
    <w:rsid w:val="4D69D698"/>
    <w:rsid w:val="4DC694C6"/>
    <w:rsid w:val="4E6E9603"/>
    <w:rsid w:val="4E94C473"/>
    <w:rsid w:val="4EB20701"/>
    <w:rsid w:val="4EDB740B"/>
    <w:rsid w:val="4EF4CD1D"/>
    <w:rsid w:val="4F054E31"/>
    <w:rsid w:val="4F2FEBAC"/>
    <w:rsid w:val="4F3FC006"/>
    <w:rsid w:val="4FAA5B64"/>
    <w:rsid w:val="4FCECA62"/>
    <w:rsid w:val="508B139C"/>
    <w:rsid w:val="50986041"/>
    <w:rsid w:val="50AD7589"/>
    <w:rsid w:val="50EAE8BD"/>
    <w:rsid w:val="5172F38F"/>
    <w:rsid w:val="51BB3255"/>
    <w:rsid w:val="51D3119E"/>
    <w:rsid w:val="51EBC9C4"/>
    <w:rsid w:val="51EDBF7D"/>
    <w:rsid w:val="5243CBB4"/>
    <w:rsid w:val="52927973"/>
    <w:rsid w:val="52AAF2B8"/>
    <w:rsid w:val="52CC484C"/>
    <w:rsid w:val="530C06CA"/>
    <w:rsid w:val="5317042E"/>
    <w:rsid w:val="53473C00"/>
    <w:rsid w:val="53A98C01"/>
    <w:rsid w:val="53BB7F99"/>
    <w:rsid w:val="53C405D5"/>
    <w:rsid w:val="53D03349"/>
    <w:rsid w:val="542EE658"/>
    <w:rsid w:val="544B998D"/>
    <w:rsid w:val="54545648"/>
    <w:rsid w:val="54698F3B"/>
    <w:rsid w:val="547ABF9F"/>
    <w:rsid w:val="54B0C143"/>
    <w:rsid w:val="54CEB002"/>
    <w:rsid w:val="54DE3403"/>
    <w:rsid w:val="5536A2E7"/>
    <w:rsid w:val="5541B03F"/>
    <w:rsid w:val="556C4A20"/>
    <w:rsid w:val="558BE659"/>
    <w:rsid w:val="5593D728"/>
    <w:rsid w:val="55E5CC28"/>
    <w:rsid w:val="5642AC5A"/>
    <w:rsid w:val="5654F93A"/>
    <w:rsid w:val="56572D39"/>
    <w:rsid w:val="565B9C57"/>
    <w:rsid w:val="568DFB2E"/>
    <w:rsid w:val="56C0DC33"/>
    <w:rsid w:val="56DCF298"/>
    <w:rsid w:val="56FB9649"/>
    <w:rsid w:val="577FAF77"/>
    <w:rsid w:val="57B91374"/>
    <w:rsid w:val="57D0F19B"/>
    <w:rsid w:val="57DB6EC8"/>
    <w:rsid w:val="5847E300"/>
    <w:rsid w:val="5848D8F9"/>
    <w:rsid w:val="587F6DAD"/>
    <w:rsid w:val="589B499F"/>
    <w:rsid w:val="58A9C9DF"/>
    <w:rsid w:val="5909247F"/>
    <w:rsid w:val="591B7FD8"/>
    <w:rsid w:val="591CEE99"/>
    <w:rsid w:val="59EDEF4C"/>
    <w:rsid w:val="59FB2C61"/>
    <w:rsid w:val="5A43CD4C"/>
    <w:rsid w:val="5A5ECB96"/>
    <w:rsid w:val="5A61B216"/>
    <w:rsid w:val="5A66E3A4"/>
    <w:rsid w:val="5A8DE14E"/>
    <w:rsid w:val="5AA96838"/>
    <w:rsid w:val="5AD305C8"/>
    <w:rsid w:val="5AE08F15"/>
    <w:rsid w:val="5B0A8D42"/>
    <w:rsid w:val="5B190CE1"/>
    <w:rsid w:val="5B430460"/>
    <w:rsid w:val="5B91A343"/>
    <w:rsid w:val="5BE723F9"/>
    <w:rsid w:val="5C113113"/>
    <w:rsid w:val="5C234196"/>
    <w:rsid w:val="5C307EB8"/>
    <w:rsid w:val="5C775EDC"/>
    <w:rsid w:val="5CB14434"/>
    <w:rsid w:val="5CB39C16"/>
    <w:rsid w:val="5CC02775"/>
    <w:rsid w:val="5CC6820D"/>
    <w:rsid w:val="5CDCB808"/>
    <w:rsid w:val="5D2939BA"/>
    <w:rsid w:val="5D668F69"/>
    <w:rsid w:val="5DAE7B15"/>
    <w:rsid w:val="5DC700E7"/>
    <w:rsid w:val="5DEB0339"/>
    <w:rsid w:val="5E10D51B"/>
    <w:rsid w:val="5E52DB38"/>
    <w:rsid w:val="5EB74ED4"/>
    <w:rsid w:val="5F54A9BE"/>
    <w:rsid w:val="5F655910"/>
    <w:rsid w:val="5F7D599C"/>
    <w:rsid w:val="5F7DBBE4"/>
    <w:rsid w:val="5FE00455"/>
    <w:rsid w:val="5FE93E9F"/>
    <w:rsid w:val="6065662E"/>
    <w:rsid w:val="613B5B02"/>
    <w:rsid w:val="613D9308"/>
    <w:rsid w:val="617E5199"/>
    <w:rsid w:val="61BF8D24"/>
    <w:rsid w:val="61C26D81"/>
    <w:rsid w:val="61C8529F"/>
    <w:rsid w:val="61DFC412"/>
    <w:rsid w:val="61FF87A9"/>
    <w:rsid w:val="620E7F65"/>
    <w:rsid w:val="62608E0F"/>
    <w:rsid w:val="629BC54C"/>
    <w:rsid w:val="62B12747"/>
    <w:rsid w:val="62BA0262"/>
    <w:rsid w:val="630987C7"/>
    <w:rsid w:val="630D5276"/>
    <w:rsid w:val="631EE8C5"/>
    <w:rsid w:val="636DC444"/>
    <w:rsid w:val="637B9797"/>
    <w:rsid w:val="641B52CC"/>
    <w:rsid w:val="6442DB47"/>
    <w:rsid w:val="645286B2"/>
    <w:rsid w:val="64F50516"/>
    <w:rsid w:val="6537A20A"/>
    <w:rsid w:val="65AA6AE8"/>
    <w:rsid w:val="65C82090"/>
    <w:rsid w:val="65D536CD"/>
    <w:rsid w:val="660AE65F"/>
    <w:rsid w:val="666709BB"/>
    <w:rsid w:val="6679D900"/>
    <w:rsid w:val="668087F1"/>
    <w:rsid w:val="66887007"/>
    <w:rsid w:val="6690D577"/>
    <w:rsid w:val="66A6C0B7"/>
    <w:rsid w:val="66CD6FA1"/>
    <w:rsid w:val="66F4C280"/>
    <w:rsid w:val="67005C00"/>
    <w:rsid w:val="670B065F"/>
    <w:rsid w:val="673A888B"/>
    <w:rsid w:val="677CAAE4"/>
    <w:rsid w:val="6783CC29"/>
    <w:rsid w:val="6787F038"/>
    <w:rsid w:val="6793A10C"/>
    <w:rsid w:val="67D4DE0B"/>
    <w:rsid w:val="67EBC6C8"/>
    <w:rsid w:val="67F2A6A5"/>
    <w:rsid w:val="67F7EDA1"/>
    <w:rsid w:val="6809DF61"/>
    <w:rsid w:val="683328A0"/>
    <w:rsid w:val="683E9BC0"/>
    <w:rsid w:val="6897104A"/>
    <w:rsid w:val="68FCBF66"/>
    <w:rsid w:val="692B61AA"/>
    <w:rsid w:val="693151A0"/>
    <w:rsid w:val="6949DB12"/>
    <w:rsid w:val="696C6ED3"/>
    <w:rsid w:val="6972B9D1"/>
    <w:rsid w:val="6974AEE4"/>
    <w:rsid w:val="69B6799A"/>
    <w:rsid w:val="69BB075A"/>
    <w:rsid w:val="69C41D3C"/>
    <w:rsid w:val="69E87FCA"/>
    <w:rsid w:val="6A01D099"/>
    <w:rsid w:val="6A21E4F5"/>
    <w:rsid w:val="6A55D580"/>
    <w:rsid w:val="6AD2609E"/>
    <w:rsid w:val="6AD2E582"/>
    <w:rsid w:val="6ADEF22D"/>
    <w:rsid w:val="6AFB25B5"/>
    <w:rsid w:val="6B25AB71"/>
    <w:rsid w:val="6B5C00C4"/>
    <w:rsid w:val="6B6ED128"/>
    <w:rsid w:val="6B85042D"/>
    <w:rsid w:val="6B9E386E"/>
    <w:rsid w:val="6C69BC29"/>
    <w:rsid w:val="6C87AFF6"/>
    <w:rsid w:val="6C926D94"/>
    <w:rsid w:val="6CA1B023"/>
    <w:rsid w:val="6D32A423"/>
    <w:rsid w:val="6D7443CD"/>
    <w:rsid w:val="6D7F0D36"/>
    <w:rsid w:val="6DBDEEFC"/>
    <w:rsid w:val="6DD17E57"/>
    <w:rsid w:val="6E46E410"/>
    <w:rsid w:val="6EC44161"/>
    <w:rsid w:val="6EFF38A0"/>
    <w:rsid w:val="6F0A4FF8"/>
    <w:rsid w:val="6F3D01A2"/>
    <w:rsid w:val="6F6DC39E"/>
    <w:rsid w:val="6F8CAA75"/>
    <w:rsid w:val="6FC571B0"/>
    <w:rsid w:val="7025E6DA"/>
    <w:rsid w:val="70AB76B3"/>
    <w:rsid w:val="70DDCAE4"/>
    <w:rsid w:val="70EAE291"/>
    <w:rsid w:val="70F47CA0"/>
    <w:rsid w:val="7106B266"/>
    <w:rsid w:val="71BCD2D1"/>
    <w:rsid w:val="71C24D47"/>
    <w:rsid w:val="71D94CAE"/>
    <w:rsid w:val="72061546"/>
    <w:rsid w:val="723468F6"/>
    <w:rsid w:val="724A4794"/>
    <w:rsid w:val="72841A0A"/>
    <w:rsid w:val="729FEB83"/>
    <w:rsid w:val="72AF470C"/>
    <w:rsid w:val="72F60473"/>
    <w:rsid w:val="7304CC2D"/>
    <w:rsid w:val="734D7A49"/>
    <w:rsid w:val="73893659"/>
    <w:rsid w:val="739CB4A0"/>
    <w:rsid w:val="739E848A"/>
    <w:rsid w:val="73CC36E1"/>
    <w:rsid w:val="73E903EE"/>
    <w:rsid w:val="74183D88"/>
    <w:rsid w:val="7441289D"/>
    <w:rsid w:val="7446C7F3"/>
    <w:rsid w:val="74830D22"/>
    <w:rsid w:val="74C76A78"/>
    <w:rsid w:val="753DB608"/>
    <w:rsid w:val="75A434C5"/>
    <w:rsid w:val="75AE4853"/>
    <w:rsid w:val="75E8BD43"/>
    <w:rsid w:val="761A8475"/>
    <w:rsid w:val="7623DFE2"/>
    <w:rsid w:val="7673346D"/>
    <w:rsid w:val="76799418"/>
    <w:rsid w:val="76CFFF05"/>
    <w:rsid w:val="76D5435A"/>
    <w:rsid w:val="77224950"/>
    <w:rsid w:val="774AEFB8"/>
    <w:rsid w:val="774BA218"/>
    <w:rsid w:val="774BC9CB"/>
    <w:rsid w:val="77630406"/>
    <w:rsid w:val="777B1984"/>
    <w:rsid w:val="779CFC89"/>
    <w:rsid w:val="78019FA6"/>
    <w:rsid w:val="78146093"/>
    <w:rsid w:val="7817D2AB"/>
    <w:rsid w:val="781DCAF9"/>
    <w:rsid w:val="7825ACFF"/>
    <w:rsid w:val="78360D4F"/>
    <w:rsid w:val="78753796"/>
    <w:rsid w:val="7881C609"/>
    <w:rsid w:val="78AF3B8B"/>
    <w:rsid w:val="78CA3789"/>
    <w:rsid w:val="78F93CD7"/>
    <w:rsid w:val="794F8F73"/>
    <w:rsid w:val="799287F9"/>
    <w:rsid w:val="79BCF47E"/>
    <w:rsid w:val="79BD1509"/>
    <w:rsid w:val="7A198232"/>
    <w:rsid w:val="7A22DFF4"/>
    <w:rsid w:val="7A3B139A"/>
    <w:rsid w:val="7A6214EA"/>
    <w:rsid w:val="7A895DDB"/>
    <w:rsid w:val="7A8EE7D6"/>
    <w:rsid w:val="7A914BEB"/>
    <w:rsid w:val="7AC04909"/>
    <w:rsid w:val="7AF06B99"/>
    <w:rsid w:val="7B1D0955"/>
    <w:rsid w:val="7B62A4B8"/>
    <w:rsid w:val="7BA3B6C3"/>
    <w:rsid w:val="7BADABAA"/>
    <w:rsid w:val="7BFB4D31"/>
    <w:rsid w:val="7BFCE832"/>
    <w:rsid w:val="7C4BEA83"/>
    <w:rsid w:val="7C50F453"/>
    <w:rsid w:val="7C8698BD"/>
    <w:rsid w:val="7CB4EDBF"/>
    <w:rsid w:val="7CD9D059"/>
    <w:rsid w:val="7CE83881"/>
    <w:rsid w:val="7D295C44"/>
    <w:rsid w:val="7E5183EA"/>
    <w:rsid w:val="7E6FE92D"/>
    <w:rsid w:val="7EB0F455"/>
    <w:rsid w:val="7EFE1895"/>
    <w:rsid w:val="7F0ABE55"/>
    <w:rsid w:val="7F19691F"/>
    <w:rsid w:val="7F4B48EF"/>
    <w:rsid w:val="7F53BA5D"/>
    <w:rsid w:val="7F659FB5"/>
    <w:rsid w:val="7F9BAC76"/>
    <w:rsid w:val="7FB4A900"/>
    <w:rsid w:val="7FB84816"/>
    <w:rsid w:val="7FDC0E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80E38"/>
  <w15:chartTrackingRefBased/>
  <w15:docId w15:val="{D66F1DBC-25B5-4F7C-9EDC-CFAE231CE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422"/>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5B6422"/>
    <w:pPr>
      <w:keepNext/>
      <w:spacing w:before="240" w:after="60"/>
      <w:outlineLvl w:val="0"/>
    </w:pPr>
    <w:rPr>
      <w:rFonts w:ascii="Arial" w:hAnsi="Arial" w:cs="Arial"/>
      <w:b/>
      <w:bCs/>
      <w:kern w:val="32"/>
      <w:sz w:val="32"/>
      <w:szCs w:val="32"/>
      <w:lang w:val="en-US"/>
    </w:rPr>
  </w:style>
  <w:style w:type="paragraph" w:styleId="Heading2">
    <w:name w:val="heading 2"/>
    <w:basedOn w:val="Normal"/>
    <w:next w:val="Normal"/>
    <w:link w:val="Heading2Char"/>
    <w:uiPriority w:val="9"/>
    <w:unhideWhenUsed/>
    <w:qFormat/>
    <w:rsid w:val="005B64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642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A04B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422"/>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5B6422"/>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5B6422"/>
    <w:rPr>
      <w:rFonts w:asciiTheme="majorHAnsi" w:eastAsiaTheme="majorEastAsia" w:hAnsiTheme="majorHAnsi" w:cstheme="majorBidi"/>
      <w:color w:val="1F3763" w:themeColor="accent1" w:themeShade="7F"/>
      <w:sz w:val="24"/>
      <w:szCs w:val="24"/>
      <w:lang w:val="en-GB"/>
    </w:rPr>
  </w:style>
  <w:style w:type="paragraph" w:styleId="Footer">
    <w:name w:val="footer"/>
    <w:basedOn w:val="Normal"/>
    <w:link w:val="FooterChar"/>
    <w:uiPriority w:val="99"/>
    <w:rsid w:val="005B6422"/>
    <w:pPr>
      <w:tabs>
        <w:tab w:val="center" w:pos="4320"/>
        <w:tab w:val="right" w:pos="8640"/>
      </w:tabs>
    </w:pPr>
  </w:style>
  <w:style w:type="character" w:customStyle="1" w:styleId="FooterChar">
    <w:name w:val="Footer Char"/>
    <w:basedOn w:val="DefaultParagraphFont"/>
    <w:link w:val="Footer"/>
    <w:uiPriority w:val="99"/>
    <w:rsid w:val="005B6422"/>
    <w:rPr>
      <w:rFonts w:ascii="Times New Roman" w:eastAsia="Times New Roman" w:hAnsi="Times New Roman" w:cs="Times New Roman"/>
      <w:sz w:val="24"/>
      <w:szCs w:val="24"/>
      <w:lang w:val="en-GB"/>
    </w:rPr>
  </w:style>
  <w:style w:type="character" w:styleId="PageNumber">
    <w:name w:val="page number"/>
    <w:basedOn w:val="DefaultParagraphFont"/>
    <w:uiPriority w:val="99"/>
    <w:rsid w:val="005B6422"/>
  </w:style>
  <w:style w:type="paragraph" w:styleId="ListParagraph">
    <w:name w:val="List Paragraph"/>
    <w:aliases w:val="List Paragraph (numbered (a)),List Paragraph Char Char Char,Use Case List Paragraph,List Paragraph2,Colorful List - Accent 11,Dot pt,F5 List Paragraph,List Paragraph1,Indicator Text,Numbered Para 1,Bullet 1,List Paragraph12,Bullet Points"/>
    <w:basedOn w:val="Normal"/>
    <w:link w:val="ListParagraphChar"/>
    <w:uiPriority w:val="34"/>
    <w:qFormat/>
    <w:rsid w:val="005B6422"/>
    <w:pPr>
      <w:ind w:left="720"/>
      <w:contextualSpacing/>
    </w:pPr>
  </w:style>
  <w:style w:type="character" w:customStyle="1" w:styleId="ListParagraphChar">
    <w:name w:val="List Paragraph Char"/>
    <w:aliases w:val="List Paragraph (numbered (a)) Char,List Paragraph Char Char Char Char,Use Case List Paragraph Char,List Paragraph2 Char,Colorful List - Accent 11 Char,Dot pt Char,F5 List Paragraph Char,List Paragraph1 Char,Indicator Text Char"/>
    <w:link w:val="ListParagraph"/>
    <w:uiPriority w:val="34"/>
    <w:locked/>
    <w:rsid w:val="005B6422"/>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5B6422"/>
    <w:rPr>
      <w:color w:val="0000FF"/>
      <w:u w:val="single"/>
    </w:rPr>
  </w:style>
  <w:style w:type="paragraph" w:styleId="FootnoteText">
    <w:name w:val="footnote text"/>
    <w:aliases w:val="Lábjegyzet-szöveg,Footnote Text Char1,Footnote Text Blue,Footnote Text1,Char,single space,ft,footnote text Char,Tegn1,Tegn1 Char,Char Char Char,Footnote Text Char2 Char Char,Footnote Text Char Char2 Char Char, Char,footnote text,Fußnote,fn"/>
    <w:basedOn w:val="Normal"/>
    <w:link w:val="FootnoteTextChar"/>
    <w:uiPriority w:val="99"/>
    <w:unhideWhenUsed/>
    <w:qFormat/>
    <w:rsid w:val="005B6422"/>
    <w:rPr>
      <w:sz w:val="20"/>
      <w:szCs w:val="20"/>
    </w:rPr>
  </w:style>
  <w:style w:type="character" w:customStyle="1" w:styleId="FootnoteTextChar">
    <w:name w:val="Footnote Text Char"/>
    <w:aliases w:val="Lábjegyzet-szöveg Char,Footnote Text Char1 Char,Footnote Text Blue Char,Footnote Text1 Char,Char Char,single space Char,ft Char,footnote text Char Char,Tegn1 Char1,Tegn1 Char Char,Char Char Char Char,Footnote Text Char2 Char Char Char"/>
    <w:basedOn w:val="DefaultParagraphFont"/>
    <w:link w:val="FootnoteText"/>
    <w:uiPriority w:val="99"/>
    <w:qFormat/>
    <w:rsid w:val="005B6422"/>
    <w:rPr>
      <w:rFonts w:ascii="Times New Roman" w:eastAsia="Times New Roman" w:hAnsi="Times New Roman" w:cs="Times New Roman"/>
      <w:sz w:val="20"/>
      <w:szCs w:val="20"/>
      <w:lang w:val="en-GB"/>
    </w:rPr>
  </w:style>
  <w:style w:type="character" w:styleId="FootnoteReference">
    <w:name w:val="footnote reference"/>
    <w:aliases w:val="ftref,BVI fnr,16 Point,Superscript 6 Point,Footnote Reference Number,nota pié di pagina,Footnote symbol,Footnote reference number,Times 10 Point,Exposant 3 Point,EN Footnote Reference,note TESI,Footnote Reference Char Char Char,fr,f,F"/>
    <w:basedOn w:val="DefaultParagraphFont"/>
    <w:link w:val="Char2"/>
    <w:uiPriority w:val="99"/>
    <w:unhideWhenUsed/>
    <w:qFormat/>
    <w:rsid w:val="005B6422"/>
    <w:rPr>
      <w:vertAlign w:val="superscript"/>
    </w:rPr>
  </w:style>
  <w:style w:type="paragraph" w:customStyle="1" w:styleId="Char2">
    <w:name w:val="Char2"/>
    <w:basedOn w:val="Normal"/>
    <w:link w:val="FootnoteReference"/>
    <w:uiPriority w:val="99"/>
    <w:rsid w:val="005B6422"/>
    <w:pPr>
      <w:spacing w:after="160" w:line="240" w:lineRule="exact"/>
    </w:pPr>
    <w:rPr>
      <w:rFonts w:asciiTheme="minorHAnsi" w:eastAsiaTheme="minorHAnsi" w:hAnsiTheme="minorHAnsi" w:cstheme="minorBidi"/>
      <w:sz w:val="22"/>
      <w:szCs w:val="22"/>
      <w:vertAlign w:val="superscript"/>
      <w:lang w:val="en-US"/>
    </w:rPr>
  </w:style>
  <w:style w:type="paragraph" w:styleId="CommentText">
    <w:name w:val="annotation text"/>
    <w:aliases w:val="Carattere3"/>
    <w:basedOn w:val="Normal"/>
    <w:link w:val="CommentTextChar"/>
    <w:uiPriority w:val="99"/>
    <w:unhideWhenUsed/>
    <w:rsid w:val="005B6422"/>
    <w:rPr>
      <w:sz w:val="20"/>
      <w:szCs w:val="20"/>
    </w:rPr>
  </w:style>
  <w:style w:type="character" w:customStyle="1" w:styleId="CommentTextChar">
    <w:name w:val="Comment Text Char"/>
    <w:aliases w:val="Carattere3 Char"/>
    <w:basedOn w:val="DefaultParagraphFont"/>
    <w:link w:val="CommentText"/>
    <w:uiPriority w:val="99"/>
    <w:rsid w:val="005B642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5B6422"/>
    <w:rPr>
      <w:sz w:val="16"/>
      <w:szCs w:val="16"/>
    </w:rPr>
  </w:style>
  <w:style w:type="paragraph" w:styleId="BalloonText">
    <w:name w:val="Balloon Text"/>
    <w:basedOn w:val="Normal"/>
    <w:link w:val="BalloonTextChar"/>
    <w:uiPriority w:val="99"/>
    <w:semiHidden/>
    <w:unhideWhenUsed/>
    <w:rsid w:val="005B64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422"/>
    <w:rPr>
      <w:rFonts w:ascii="Segoe UI" w:eastAsia="Times New Roman" w:hAnsi="Segoe UI" w:cs="Segoe UI"/>
      <w:sz w:val="18"/>
      <w:szCs w:val="18"/>
      <w:lang w:val="en-GB"/>
    </w:rPr>
  </w:style>
  <w:style w:type="paragraph" w:styleId="Title">
    <w:name w:val="Title"/>
    <w:basedOn w:val="Normal"/>
    <w:link w:val="TitleChar"/>
    <w:qFormat/>
    <w:rsid w:val="005B6422"/>
    <w:pPr>
      <w:spacing w:after="120"/>
      <w:jc w:val="center"/>
    </w:pPr>
    <w:rPr>
      <w:rFonts w:ascii="Arial" w:hAnsi="Arial"/>
      <w:b/>
      <w:bCs/>
      <w:sz w:val="32"/>
    </w:rPr>
  </w:style>
  <w:style w:type="character" w:customStyle="1" w:styleId="TitleChar">
    <w:name w:val="Title Char"/>
    <w:basedOn w:val="DefaultParagraphFont"/>
    <w:link w:val="Title"/>
    <w:rsid w:val="005B6422"/>
    <w:rPr>
      <w:rFonts w:ascii="Arial" w:eastAsia="Times New Roman" w:hAnsi="Arial" w:cs="Times New Roman"/>
      <w:b/>
      <w:bCs/>
      <w:sz w:val="32"/>
      <w:szCs w:val="24"/>
      <w:lang w:val="en-GB"/>
    </w:rPr>
  </w:style>
  <w:style w:type="paragraph" w:styleId="CommentSubject">
    <w:name w:val="annotation subject"/>
    <w:basedOn w:val="CommentText"/>
    <w:next w:val="CommentText"/>
    <w:link w:val="CommentSubjectChar"/>
    <w:uiPriority w:val="99"/>
    <w:semiHidden/>
    <w:unhideWhenUsed/>
    <w:rsid w:val="005B6422"/>
    <w:rPr>
      <w:b/>
      <w:bCs/>
    </w:rPr>
  </w:style>
  <w:style w:type="character" w:customStyle="1" w:styleId="CommentSubjectChar">
    <w:name w:val="Comment Subject Char"/>
    <w:basedOn w:val="CommentTextChar"/>
    <w:link w:val="CommentSubject"/>
    <w:uiPriority w:val="99"/>
    <w:semiHidden/>
    <w:rsid w:val="005B6422"/>
    <w:rPr>
      <w:rFonts w:ascii="Times New Roman" w:eastAsia="Times New Roman" w:hAnsi="Times New Roman" w:cs="Times New Roman"/>
      <w:b/>
      <w:bCs/>
      <w:sz w:val="20"/>
      <w:szCs w:val="20"/>
      <w:lang w:val="en-GB"/>
    </w:rPr>
  </w:style>
  <w:style w:type="paragraph" w:styleId="Header">
    <w:name w:val="header"/>
    <w:basedOn w:val="Normal"/>
    <w:link w:val="HeaderChar"/>
    <w:unhideWhenUsed/>
    <w:rsid w:val="005B6422"/>
    <w:pPr>
      <w:tabs>
        <w:tab w:val="center" w:pos="4680"/>
        <w:tab w:val="right" w:pos="9360"/>
      </w:tabs>
    </w:pPr>
  </w:style>
  <w:style w:type="character" w:customStyle="1" w:styleId="HeaderChar">
    <w:name w:val="Header Char"/>
    <w:basedOn w:val="DefaultParagraphFont"/>
    <w:link w:val="Header"/>
    <w:rsid w:val="005B6422"/>
    <w:rPr>
      <w:rFonts w:ascii="Times New Roman" w:eastAsia="Times New Roman" w:hAnsi="Times New Roman" w:cs="Times New Roman"/>
      <w:sz w:val="24"/>
      <w:szCs w:val="24"/>
      <w:lang w:val="en-GB"/>
    </w:rPr>
  </w:style>
  <w:style w:type="paragraph" w:styleId="TOCHeading">
    <w:name w:val="TOC Heading"/>
    <w:basedOn w:val="Heading1"/>
    <w:next w:val="Normal"/>
    <w:uiPriority w:val="39"/>
    <w:unhideWhenUsed/>
    <w:qFormat/>
    <w:rsid w:val="005B6422"/>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C02C94"/>
    <w:pPr>
      <w:tabs>
        <w:tab w:val="left" w:pos="0"/>
        <w:tab w:val="right" w:leader="dot" w:pos="9639"/>
      </w:tabs>
      <w:spacing w:before="120" w:after="120"/>
    </w:pPr>
    <w:rPr>
      <w:rFonts w:asciiTheme="minorHAnsi" w:hAnsiTheme="minorHAnsi" w:cstheme="minorHAnsi"/>
      <w:caps/>
      <w:noProof/>
      <w:spacing w:val="-6"/>
      <w:sz w:val="22"/>
      <w:szCs w:val="22"/>
    </w:rPr>
  </w:style>
  <w:style w:type="table" w:styleId="TableGrid">
    <w:name w:val="Table Grid"/>
    <w:basedOn w:val="TableNormal"/>
    <w:uiPriority w:val="39"/>
    <w:rsid w:val="005B6422"/>
    <w:pPr>
      <w:spacing w:after="0" w:line="240" w:lineRule="auto"/>
    </w:pPr>
    <w:rPr>
      <w:rFonts w:ascii="Times New Roman" w:eastAsiaTheme="minorEastAsia"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B6422"/>
    <w:pPr>
      <w:spacing w:before="100" w:beforeAutospacing="1" w:after="100" w:afterAutospacing="1"/>
    </w:pPr>
    <w:rPr>
      <w:lang w:val="en-US"/>
    </w:rPr>
  </w:style>
  <w:style w:type="paragraph" w:styleId="Revision">
    <w:name w:val="Revision"/>
    <w:hidden/>
    <w:uiPriority w:val="99"/>
    <w:semiHidden/>
    <w:rsid w:val="005B6422"/>
    <w:pPr>
      <w:spacing w:after="0" w:line="240" w:lineRule="auto"/>
    </w:pPr>
    <w:rPr>
      <w:rFonts w:ascii="Times New Roman" w:eastAsia="Times New Roman" w:hAnsi="Times New Roman" w:cs="Times New Roman"/>
      <w:sz w:val="24"/>
      <w:szCs w:val="24"/>
      <w:lang w:val="en-GB"/>
    </w:rPr>
  </w:style>
  <w:style w:type="paragraph" w:styleId="TOC2">
    <w:name w:val="toc 2"/>
    <w:basedOn w:val="Normal"/>
    <w:next w:val="Normal"/>
    <w:autoRedefine/>
    <w:uiPriority w:val="39"/>
    <w:unhideWhenUsed/>
    <w:rsid w:val="005B6422"/>
    <w:pPr>
      <w:ind w:left="240"/>
    </w:pPr>
    <w:rPr>
      <w:rFonts w:asciiTheme="minorHAnsi" w:hAnsiTheme="minorHAnsi" w:cstheme="minorHAnsi"/>
      <w:smallCaps/>
      <w:sz w:val="20"/>
      <w:szCs w:val="20"/>
    </w:rPr>
  </w:style>
  <w:style w:type="paragraph" w:styleId="BodyText3">
    <w:name w:val="Body Text 3"/>
    <w:basedOn w:val="Normal"/>
    <w:link w:val="BodyText3Char"/>
    <w:rsid w:val="005B6422"/>
    <w:pPr>
      <w:spacing w:after="120"/>
    </w:pPr>
    <w:rPr>
      <w:rFonts w:ascii="Arial" w:hAnsi="Arial" w:cs="Arial"/>
      <w:sz w:val="16"/>
      <w:szCs w:val="16"/>
      <w:lang w:val="en-US"/>
    </w:rPr>
  </w:style>
  <w:style w:type="character" w:customStyle="1" w:styleId="BodyText3Char">
    <w:name w:val="Body Text 3 Char"/>
    <w:basedOn w:val="DefaultParagraphFont"/>
    <w:link w:val="BodyText3"/>
    <w:rsid w:val="005B6422"/>
    <w:rPr>
      <w:rFonts w:ascii="Arial" w:eastAsia="Times New Roman" w:hAnsi="Arial" w:cs="Arial"/>
      <w:sz w:val="16"/>
      <w:szCs w:val="16"/>
    </w:rPr>
  </w:style>
  <w:style w:type="character" w:customStyle="1" w:styleId="CommentTextChar1">
    <w:name w:val="Comment Text Char1"/>
    <w:basedOn w:val="DefaultParagraphFont"/>
    <w:locked/>
    <w:rsid w:val="005B6422"/>
    <w:rPr>
      <w:rFonts w:ascii="Arial" w:hAnsi="Arial"/>
      <w:lang w:val="en-GB"/>
    </w:rPr>
  </w:style>
  <w:style w:type="paragraph" w:styleId="NoSpacing">
    <w:name w:val="No Spacing"/>
    <w:link w:val="NoSpacingChar"/>
    <w:uiPriority w:val="1"/>
    <w:qFormat/>
    <w:rsid w:val="005B6422"/>
    <w:pPr>
      <w:spacing w:after="0" w:line="240" w:lineRule="auto"/>
    </w:pPr>
    <w:rPr>
      <w:rFonts w:ascii="Arial" w:eastAsiaTheme="minorEastAsia" w:hAnsi="Arial" w:cs="Times New Roman"/>
      <w:szCs w:val="24"/>
      <w:lang w:val="en-GB"/>
    </w:rPr>
  </w:style>
  <w:style w:type="character" w:customStyle="1" w:styleId="NoSpacingChar">
    <w:name w:val="No Spacing Char"/>
    <w:link w:val="NoSpacing"/>
    <w:uiPriority w:val="1"/>
    <w:rsid w:val="005B6422"/>
    <w:rPr>
      <w:rFonts w:ascii="Arial" w:eastAsiaTheme="minorEastAsia" w:hAnsi="Arial" w:cs="Times New Roman"/>
      <w:szCs w:val="24"/>
      <w:lang w:val="en-GB"/>
    </w:rPr>
  </w:style>
  <w:style w:type="character" w:customStyle="1" w:styleId="Mention1">
    <w:name w:val="Mention1"/>
    <w:basedOn w:val="DefaultParagraphFont"/>
    <w:uiPriority w:val="99"/>
    <w:semiHidden/>
    <w:unhideWhenUsed/>
    <w:rsid w:val="005B6422"/>
    <w:rPr>
      <w:color w:val="2B579A"/>
      <w:shd w:val="clear" w:color="auto" w:fill="E6E6E6"/>
    </w:rPr>
  </w:style>
  <w:style w:type="paragraph" w:customStyle="1" w:styleId="Title4">
    <w:name w:val="Title 4"/>
    <w:basedOn w:val="Normal"/>
    <w:rsid w:val="005B6422"/>
    <w:pPr>
      <w:spacing w:before="120" w:after="120"/>
    </w:pPr>
    <w:rPr>
      <w:rFonts w:ascii="Arial" w:eastAsiaTheme="minorEastAsia" w:hAnsi="Arial"/>
      <w:b/>
      <w:sz w:val="22"/>
    </w:rPr>
  </w:style>
  <w:style w:type="character" w:styleId="FollowedHyperlink">
    <w:name w:val="FollowedHyperlink"/>
    <w:basedOn w:val="DefaultParagraphFont"/>
    <w:uiPriority w:val="99"/>
    <w:semiHidden/>
    <w:unhideWhenUsed/>
    <w:rsid w:val="005B6422"/>
    <w:rPr>
      <w:color w:val="954F72" w:themeColor="followedHyperlink"/>
      <w:u w:val="single"/>
    </w:rPr>
  </w:style>
  <w:style w:type="character" w:customStyle="1" w:styleId="UnresolvedMention1">
    <w:name w:val="Unresolved Mention1"/>
    <w:basedOn w:val="DefaultParagraphFont"/>
    <w:uiPriority w:val="99"/>
    <w:semiHidden/>
    <w:unhideWhenUsed/>
    <w:rsid w:val="005B6422"/>
    <w:rPr>
      <w:color w:val="808080"/>
      <w:shd w:val="clear" w:color="auto" w:fill="E6E6E6"/>
    </w:rPr>
  </w:style>
  <w:style w:type="paragraph" w:customStyle="1" w:styleId="Annex">
    <w:name w:val="Annex"/>
    <w:basedOn w:val="Heading2"/>
    <w:rsid w:val="005B6422"/>
    <w:pPr>
      <w:numPr>
        <w:numId w:val="1"/>
      </w:numPr>
      <w:tabs>
        <w:tab w:val="num" w:pos="720"/>
      </w:tabs>
      <w:spacing w:before="240"/>
      <w:jc w:val="both"/>
    </w:pPr>
    <w:rPr>
      <w:rFonts w:ascii="Calibri" w:eastAsia="Calibri" w:hAnsi="Calibri" w:cs="Times New Roman"/>
      <w:b/>
      <w:bCs/>
      <w:color w:val="auto"/>
      <w:kern w:val="32"/>
      <w:sz w:val="28"/>
      <w:szCs w:val="24"/>
      <w:lang w:eastAsia="en-GB"/>
    </w:rPr>
  </w:style>
  <w:style w:type="paragraph" w:customStyle="1" w:styleId="Default">
    <w:name w:val="Default"/>
    <w:rsid w:val="005B6422"/>
    <w:pPr>
      <w:autoSpaceDE w:val="0"/>
      <w:autoSpaceDN w:val="0"/>
      <w:adjustRightInd w:val="0"/>
      <w:spacing w:after="0" w:line="240" w:lineRule="auto"/>
    </w:pPr>
    <w:rPr>
      <w:rFonts w:ascii="Times New Roman" w:eastAsia="Cambria" w:hAnsi="Times New Roman" w:cs="Times New Roman"/>
      <w:color w:val="000000"/>
      <w:sz w:val="24"/>
      <w:szCs w:val="24"/>
    </w:rPr>
  </w:style>
  <w:style w:type="paragraph" w:customStyle="1" w:styleId="NormalParagraph">
    <w:name w:val="Normal Paragraph"/>
    <w:basedOn w:val="Normal"/>
    <w:link w:val="NormalParagraphChar"/>
    <w:rsid w:val="005B6422"/>
    <w:pPr>
      <w:spacing w:after="120"/>
      <w:jc w:val="both"/>
    </w:pPr>
    <w:rPr>
      <w:rFonts w:ascii="Arial" w:eastAsia="Calibri" w:hAnsi="Arial"/>
      <w:szCs w:val="20"/>
      <w:lang w:eastAsia="ko-KR"/>
    </w:rPr>
  </w:style>
  <w:style w:type="character" w:customStyle="1" w:styleId="NormalParagraphChar">
    <w:name w:val="Normal Paragraph Char"/>
    <w:link w:val="NormalParagraph"/>
    <w:locked/>
    <w:rsid w:val="005B6422"/>
    <w:rPr>
      <w:rFonts w:ascii="Arial" w:eastAsia="Calibri" w:hAnsi="Arial" w:cs="Times New Roman"/>
      <w:sz w:val="24"/>
      <w:szCs w:val="20"/>
      <w:lang w:val="en-GB" w:eastAsia="ko-KR"/>
    </w:rPr>
  </w:style>
  <w:style w:type="character" w:customStyle="1" w:styleId="st">
    <w:name w:val="st"/>
    <w:basedOn w:val="DefaultParagraphFont"/>
    <w:rsid w:val="005B6422"/>
  </w:style>
  <w:style w:type="character" w:customStyle="1" w:styleId="UnresolvedMention2">
    <w:name w:val="Unresolved Mention2"/>
    <w:basedOn w:val="DefaultParagraphFont"/>
    <w:uiPriority w:val="99"/>
    <w:semiHidden/>
    <w:unhideWhenUsed/>
    <w:rsid w:val="005B6422"/>
    <w:rPr>
      <w:color w:val="808080"/>
      <w:shd w:val="clear" w:color="auto" w:fill="E6E6E6"/>
    </w:rPr>
  </w:style>
  <w:style w:type="paragraph" w:styleId="TOC3">
    <w:name w:val="toc 3"/>
    <w:basedOn w:val="Normal"/>
    <w:next w:val="Normal"/>
    <w:autoRedefine/>
    <w:uiPriority w:val="39"/>
    <w:unhideWhenUsed/>
    <w:rsid w:val="005B6422"/>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5B6422"/>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B6422"/>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B6422"/>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B6422"/>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B6422"/>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B6422"/>
    <w:pPr>
      <w:ind w:left="1920"/>
    </w:pPr>
    <w:rPr>
      <w:rFonts w:asciiTheme="minorHAnsi" w:hAnsiTheme="minorHAnsi" w:cstheme="minorHAnsi"/>
      <w:sz w:val="18"/>
      <w:szCs w:val="18"/>
    </w:rPr>
  </w:style>
  <w:style w:type="table" w:customStyle="1" w:styleId="TableGrid1">
    <w:name w:val="Table Grid1"/>
    <w:basedOn w:val="TableNormal"/>
    <w:next w:val="TableGrid"/>
    <w:uiPriority w:val="39"/>
    <w:rsid w:val="005B6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B6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B6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B6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B6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5B6422"/>
    <w:rPr>
      <w:color w:val="605E5C"/>
      <w:shd w:val="clear" w:color="auto" w:fill="E1DFDD"/>
    </w:rPr>
  </w:style>
  <w:style w:type="paragraph" w:styleId="EndnoteText">
    <w:name w:val="endnote text"/>
    <w:basedOn w:val="Normal"/>
    <w:link w:val="EndnoteTextChar"/>
    <w:uiPriority w:val="99"/>
    <w:semiHidden/>
    <w:unhideWhenUsed/>
    <w:rsid w:val="005B6422"/>
    <w:rPr>
      <w:sz w:val="20"/>
      <w:szCs w:val="20"/>
    </w:rPr>
  </w:style>
  <w:style w:type="character" w:customStyle="1" w:styleId="EndnoteTextChar">
    <w:name w:val="Endnote Text Char"/>
    <w:basedOn w:val="DefaultParagraphFont"/>
    <w:link w:val="EndnoteText"/>
    <w:uiPriority w:val="99"/>
    <w:semiHidden/>
    <w:rsid w:val="005B6422"/>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5B6422"/>
    <w:rPr>
      <w:vertAlign w:val="superscript"/>
    </w:rPr>
  </w:style>
  <w:style w:type="paragraph" w:styleId="PlainText">
    <w:name w:val="Plain Text"/>
    <w:basedOn w:val="Normal"/>
    <w:link w:val="PlainTextChar"/>
    <w:uiPriority w:val="99"/>
    <w:unhideWhenUsed/>
    <w:rsid w:val="005B6422"/>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5B6422"/>
    <w:rPr>
      <w:rFonts w:ascii="Calibri" w:hAnsi="Calibri"/>
      <w:szCs w:val="21"/>
    </w:rPr>
  </w:style>
  <w:style w:type="character" w:customStyle="1" w:styleId="apple-converted-space">
    <w:name w:val="apple-converted-space"/>
    <w:basedOn w:val="DefaultParagraphFont"/>
    <w:rsid w:val="005B6422"/>
  </w:style>
  <w:style w:type="character" w:customStyle="1" w:styleId="tlid-translation">
    <w:name w:val="tlid-translation"/>
    <w:basedOn w:val="DefaultParagraphFont"/>
    <w:rsid w:val="005B6422"/>
  </w:style>
  <w:style w:type="character" w:customStyle="1" w:styleId="UnresolvedMention4">
    <w:name w:val="Unresolved Mention4"/>
    <w:basedOn w:val="DefaultParagraphFont"/>
    <w:uiPriority w:val="99"/>
    <w:semiHidden/>
    <w:unhideWhenUsed/>
    <w:rsid w:val="005B6422"/>
    <w:rPr>
      <w:color w:val="605E5C"/>
      <w:shd w:val="clear" w:color="auto" w:fill="E1DFDD"/>
    </w:rPr>
  </w:style>
  <w:style w:type="character" w:styleId="UnresolvedMention">
    <w:name w:val="Unresolved Mention"/>
    <w:basedOn w:val="DefaultParagraphFont"/>
    <w:uiPriority w:val="99"/>
    <w:semiHidden/>
    <w:unhideWhenUsed/>
    <w:rsid w:val="005B6422"/>
    <w:rPr>
      <w:color w:val="605E5C"/>
      <w:shd w:val="clear" w:color="auto" w:fill="E1DFDD"/>
    </w:rPr>
  </w:style>
  <w:style w:type="character" w:customStyle="1" w:styleId="normaltextrun">
    <w:name w:val="normaltextrun"/>
    <w:basedOn w:val="DefaultParagraphFont"/>
    <w:rsid w:val="005B6422"/>
  </w:style>
  <w:style w:type="character" w:customStyle="1" w:styleId="eop">
    <w:name w:val="eop"/>
    <w:basedOn w:val="DefaultParagraphFont"/>
    <w:rsid w:val="005B6422"/>
  </w:style>
  <w:style w:type="paragraph" w:customStyle="1" w:styleId="paragraph">
    <w:name w:val="paragraph"/>
    <w:basedOn w:val="Normal"/>
    <w:rsid w:val="005B6422"/>
    <w:rPr>
      <w:lang w:val="en-US"/>
    </w:rPr>
  </w:style>
  <w:style w:type="character" w:styleId="Strong">
    <w:name w:val="Strong"/>
    <w:basedOn w:val="DefaultParagraphFont"/>
    <w:uiPriority w:val="22"/>
    <w:qFormat/>
    <w:rsid w:val="005B6422"/>
    <w:rPr>
      <w:b/>
      <w:bCs/>
    </w:rPr>
  </w:style>
  <w:style w:type="character" w:styleId="Emphasis">
    <w:name w:val="Emphasis"/>
    <w:basedOn w:val="DefaultParagraphFont"/>
    <w:uiPriority w:val="20"/>
    <w:qFormat/>
    <w:rsid w:val="005B6422"/>
    <w:rPr>
      <w:i/>
      <w:iCs/>
    </w:rPr>
  </w:style>
  <w:style w:type="paragraph" w:styleId="HTMLPreformatted">
    <w:name w:val="HTML Preformatted"/>
    <w:basedOn w:val="Normal"/>
    <w:link w:val="HTMLPreformattedChar"/>
    <w:uiPriority w:val="99"/>
    <w:semiHidden/>
    <w:unhideWhenUsed/>
    <w:rsid w:val="005B6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B6422"/>
    <w:rPr>
      <w:rFonts w:ascii="Courier New" w:hAnsi="Courier New" w:cs="Courier New"/>
      <w:sz w:val="20"/>
      <w:szCs w:val="20"/>
    </w:rPr>
  </w:style>
  <w:style w:type="character" w:customStyle="1" w:styleId="superscript">
    <w:name w:val="superscript"/>
    <w:basedOn w:val="DefaultParagraphFont"/>
    <w:rsid w:val="00112F7B"/>
  </w:style>
  <w:style w:type="character" w:customStyle="1" w:styleId="Heading4Char">
    <w:name w:val="Heading 4 Char"/>
    <w:basedOn w:val="DefaultParagraphFont"/>
    <w:link w:val="Heading4"/>
    <w:uiPriority w:val="9"/>
    <w:semiHidden/>
    <w:rsid w:val="003A04B2"/>
    <w:rPr>
      <w:rFonts w:asciiTheme="majorHAnsi" w:eastAsiaTheme="majorEastAsia" w:hAnsiTheme="majorHAnsi" w:cstheme="majorBidi"/>
      <w:i/>
      <w:iCs/>
      <w:color w:val="2F5496"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91545">
      <w:bodyDiv w:val="1"/>
      <w:marLeft w:val="0"/>
      <w:marRight w:val="0"/>
      <w:marTop w:val="0"/>
      <w:marBottom w:val="0"/>
      <w:divBdr>
        <w:top w:val="none" w:sz="0" w:space="0" w:color="auto"/>
        <w:left w:val="none" w:sz="0" w:space="0" w:color="auto"/>
        <w:bottom w:val="none" w:sz="0" w:space="0" w:color="auto"/>
        <w:right w:val="none" w:sz="0" w:space="0" w:color="auto"/>
      </w:divBdr>
    </w:div>
    <w:div w:id="182406283">
      <w:bodyDiv w:val="1"/>
      <w:marLeft w:val="0"/>
      <w:marRight w:val="0"/>
      <w:marTop w:val="0"/>
      <w:marBottom w:val="0"/>
      <w:divBdr>
        <w:top w:val="none" w:sz="0" w:space="0" w:color="auto"/>
        <w:left w:val="none" w:sz="0" w:space="0" w:color="auto"/>
        <w:bottom w:val="none" w:sz="0" w:space="0" w:color="auto"/>
        <w:right w:val="none" w:sz="0" w:space="0" w:color="auto"/>
      </w:divBdr>
    </w:div>
    <w:div w:id="298650355">
      <w:bodyDiv w:val="1"/>
      <w:marLeft w:val="0"/>
      <w:marRight w:val="0"/>
      <w:marTop w:val="0"/>
      <w:marBottom w:val="0"/>
      <w:divBdr>
        <w:top w:val="none" w:sz="0" w:space="0" w:color="auto"/>
        <w:left w:val="none" w:sz="0" w:space="0" w:color="auto"/>
        <w:bottom w:val="none" w:sz="0" w:space="0" w:color="auto"/>
        <w:right w:val="none" w:sz="0" w:space="0" w:color="auto"/>
      </w:divBdr>
    </w:div>
    <w:div w:id="378358975">
      <w:bodyDiv w:val="1"/>
      <w:marLeft w:val="0"/>
      <w:marRight w:val="0"/>
      <w:marTop w:val="0"/>
      <w:marBottom w:val="0"/>
      <w:divBdr>
        <w:top w:val="none" w:sz="0" w:space="0" w:color="auto"/>
        <w:left w:val="none" w:sz="0" w:space="0" w:color="auto"/>
        <w:bottom w:val="none" w:sz="0" w:space="0" w:color="auto"/>
        <w:right w:val="none" w:sz="0" w:space="0" w:color="auto"/>
      </w:divBdr>
    </w:div>
    <w:div w:id="1020087884">
      <w:bodyDiv w:val="1"/>
      <w:marLeft w:val="0"/>
      <w:marRight w:val="0"/>
      <w:marTop w:val="0"/>
      <w:marBottom w:val="0"/>
      <w:divBdr>
        <w:top w:val="none" w:sz="0" w:space="0" w:color="auto"/>
        <w:left w:val="none" w:sz="0" w:space="0" w:color="auto"/>
        <w:bottom w:val="none" w:sz="0" w:space="0" w:color="auto"/>
        <w:right w:val="none" w:sz="0" w:space="0" w:color="auto"/>
      </w:divBdr>
      <w:divsChild>
        <w:div w:id="884219350">
          <w:marLeft w:val="0"/>
          <w:marRight w:val="0"/>
          <w:marTop w:val="0"/>
          <w:marBottom w:val="0"/>
          <w:divBdr>
            <w:top w:val="none" w:sz="0" w:space="0" w:color="auto"/>
            <w:left w:val="none" w:sz="0" w:space="0" w:color="auto"/>
            <w:bottom w:val="none" w:sz="0" w:space="0" w:color="auto"/>
            <w:right w:val="none" w:sz="0" w:space="0" w:color="auto"/>
          </w:divBdr>
          <w:divsChild>
            <w:div w:id="174417765">
              <w:marLeft w:val="0"/>
              <w:marRight w:val="0"/>
              <w:marTop w:val="0"/>
              <w:marBottom w:val="0"/>
              <w:divBdr>
                <w:top w:val="none" w:sz="0" w:space="0" w:color="auto"/>
                <w:left w:val="none" w:sz="0" w:space="0" w:color="auto"/>
                <w:bottom w:val="none" w:sz="0" w:space="0" w:color="auto"/>
                <w:right w:val="none" w:sz="0" w:space="0" w:color="auto"/>
              </w:divBdr>
              <w:divsChild>
                <w:div w:id="1939289219">
                  <w:marLeft w:val="0"/>
                  <w:marRight w:val="0"/>
                  <w:marTop w:val="0"/>
                  <w:marBottom w:val="0"/>
                  <w:divBdr>
                    <w:top w:val="none" w:sz="0" w:space="0" w:color="auto"/>
                    <w:left w:val="none" w:sz="0" w:space="0" w:color="auto"/>
                    <w:bottom w:val="none" w:sz="0" w:space="0" w:color="auto"/>
                    <w:right w:val="none" w:sz="0" w:space="0" w:color="auto"/>
                  </w:divBdr>
                  <w:divsChild>
                    <w:div w:id="631405543">
                      <w:marLeft w:val="0"/>
                      <w:marRight w:val="0"/>
                      <w:marTop w:val="0"/>
                      <w:marBottom w:val="0"/>
                      <w:divBdr>
                        <w:top w:val="none" w:sz="0" w:space="0" w:color="auto"/>
                        <w:left w:val="none" w:sz="0" w:space="0" w:color="auto"/>
                        <w:bottom w:val="none" w:sz="0" w:space="0" w:color="auto"/>
                        <w:right w:val="none" w:sz="0" w:space="0" w:color="auto"/>
                      </w:divBdr>
                      <w:divsChild>
                        <w:div w:id="130753850">
                          <w:marLeft w:val="0"/>
                          <w:marRight w:val="0"/>
                          <w:marTop w:val="0"/>
                          <w:marBottom w:val="0"/>
                          <w:divBdr>
                            <w:top w:val="none" w:sz="0" w:space="0" w:color="auto"/>
                            <w:left w:val="none" w:sz="0" w:space="0" w:color="auto"/>
                            <w:bottom w:val="none" w:sz="0" w:space="0" w:color="auto"/>
                            <w:right w:val="none" w:sz="0" w:space="0" w:color="auto"/>
                          </w:divBdr>
                          <w:divsChild>
                            <w:div w:id="168867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484071">
      <w:bodyDiv w:val="1"/>
      <w:marLeft w:val="0"/>
      <w:marRight w:val="0"/>
      <w:marTop w:val="0"/>
      <w:marBottom w:val="0"/>
      <w:divBdr>
        <w:top w:val="none" w:sz="0" w:space="0" w:color="auto"/>
        <w:left w:val="none" w:sz="0" w:space="0" w:color="auto"/>
        <w:bottom w:val="none" w:sz="0" w:space="0" w:color="auto"/>
        <w:right w:val="none" w:sz="0" w:space="0" w:color="auto"/>
      </w:divBdr>
    </w:div>
    <w:div w:id="1301574412">
      <w:bodyDiv w:val="1"/>
      <w:marLeft w:val="0"/>
      <w:marRight w:val="0"/>
      <w:marTop w:val="0"/>
      <w:marBottom w:val="0"/>
      <w:divBdr>
        <w:top w:val="none" w:sz="0" w:space="0" w:color="auto"/>
        <w:left w:val="none" w:sz="0" w:space="0" w:color="auto"/>
        <w:bottom w:val="none" w:sz="0" w:space="0" w:color="auto"/>
        <w:right w:val="none" w:sz="0" w:space="0" w:color="auto"/>
      </w:divBdr>
    </w:div>
    <w:div w:id="1382285484">
      <w:bodyDiv w:val="1"/>
      <w:marLeft w:val="0"/>
      <w:marRight w:val="0"/>
      <w:marTop w:val="0"/>
      <w:marBottom w:val="0"/>
      <w:divBdr>
        <w:top w:val="none" w:sz="0" w:space="0" w:color="auto"/>
        <w:left w:val="none" w:sz="0" w:space="0" w:color="auto"/>
        <w:bottom w:val="none" w:sz="0" w:space="0" w:color="auto"/>
        <w:right w:val="none" w:sz="0" w:space="0" w:color="auto"/>
      </w:divBdr>
    </w:div>
    <w:div w:id="1471167896">
      <w:bodyDiv w:val="1"/>
      <w:marLeft w:val="0"/>
      <w:marRight w:val="0"/>
      <w:marTop w:val="0"/>
      <w:marBottom w:val="0"/>
      <w:divBdr>
        <w:top w:val="none" w:sz="0" w:space="0" w:color="auto"/>
        <w:left w:val="none" w:sz="0" w:space="0" w:color="auto"/>
        <w:bottom w:val="none" w:sz="0" w:space="0" w:color="auto"/>
        <w:right w:val="none" w:sz="0" w:space="0" w:color="auto"/>
      </w:divBdr>
      <w:divsChild>
        <w:div w:id="380709834">
          <w:marLeft w:val="0"/>
          <w:marRight w:val="0"/>
          <w:marTop w:val="0"/>
          <w:marBottom w:val="0"/>
          <w:divBdr>
            <w:top w:val="none" w:sz="0" w:space="0" w:color="auto"/>
            <w:left w:val="none" w:sz="0" w:space="0" w:color="auto"/>
            <w:bottom w:val="none" w:sz="0" w:space="0" w:color="auto"/>
            <w:right w:val="none" w:sz="0" w:space="0" w:color="auto"/>
          </w:divBdr>
        </w:div>
        <w:div w:id="509833195">
          <w:marLeft w:val="0"/>
          <w:marRight w:val="0"/>
          <w:marTop w:val="0"/>
          <w:marBottom w:val="0"/>
          <w:divBdr>
            <w:top w:val="none" w:sz="0" w:space="0" w:color="auto"/>
            <w:left w:val="none" w:sz="0" w:space="0" w:color="auto"/>
            <w:bottom w:val="none" w:sz="0" w:space="0" w:color="auto"/>
            <w:right w:val="none" w:sz="0" w:space="0" w:color="auto"/>
          </w:divBdr>
        </w:div>
        <w:div w:id="977145309">
          <w:marLeft w:val="0"/>
          <w:marRight w:val="0"/>
          <w:marTop w:val="0"/>
          <w:marBottom w:val="0"/>
          <w:divBdr>
            <w:top w:val="none" w:sz="0" w:space="0" w:color="auto"/>
            <w:left w:val="none" w:sz="0" w:space="0" w:color="auto"/>
            <w:bottom w:val="none" w:sz="0" w:space="0" w:color="auto"/>
            <w:right w:val="none" w:sz="0" w:space="0" w:color="auto"/>
          </w:divBdr>
        </w:div>
        <w:div w:id="1714844466">
          <w:marLeft w:val="0"/>
          <w:marRight w:val="0"/>
          <w:marTop w:val="0"/>
          <w:marBottom w:val="0"/>
          <w:divBdr>
            <w:top w:val="none" w:sz="0" w:space="0" w:color="auto"/>
            <w:left w:val="none" w:sz="0" w:space="0" w:color="auto"/>
            <w:bottom w:val="none" w:sz="0" w:space="0" w:color="auto"/>
            <w:right w:val="none" w:sz="0" w:space="0" w:color="auto"/>
          </w:divBdr>
        </w:div>
        <w:div w:id="1731272750">
          <w:marLeft w:val="0"/>
          <w:marRight w:val="0"/>
          <w:marTop w:val="0"/>
          <w:marBottom w:val="0"/>
          <w:divBdr>
            <w:top w:val="none" w:sz="0" w:space="0" w:color="auto"/>
            <w:left w:val="none" w:sz="0" w:space="0" w:color="auto"/>
            <w:bottom w:val="none" w:sz="0" w:space="0" w:color="auto"/>
            <w:right w:val="none" w:sz="0" w:space="0" w:color="auto"/>
          </w:divBdr>
        </w:div>
        <w:div w:id="1757483996">
          <w:marLeft w:val="0"/>
          <w:marRight w:val="0"/>
          <w:marTop w:val="0"/>
          <w:marBottom w:val="0"/>
          <w:divBdr>
            <w:top w:val="none" w:sz="0" w:space="0" w:color="auto"/>
            <w:left w:val="none" w:sz="0" w:space="0" w:color="auto"/>
            <w:bottom w:val="none" w:sz="0" w:space="0" w:color="auto"/>
            <w:right w:val="none" w:sz="0" w:space="0" w:color="auto"/>
          </w:divBdr>
        </w:div>
        <w:div w:id="2105373280">
          <w:marLeft w:val="0"/>
          <w:marRight w:val="0"/>
          <w:marTop w:val="0"/>
          <w:marBottom w:val="0"/>
          <w:divBdr>
            <w:top w:val="none" w:sz="0" w:space="0" w:color="auto"/>
            <w:left w:val="none" w:sz="0" w:space="0" w:color="auto"/>
            <w:bottom w:val="none" w:sz="0" w:space="0" w:color="auto"/>
            <w:right w:val="none" w:sz="0" w:space="0" w:color="auto"/>
          </w:divBdr>
        </w:div>
        <w:div w:id="2112698261">
          <w:marLeft w:val="0"/>
          <w:marRight w:val="0"/>
          <w:marTop w:val="0"/>
          <w:marBottom w:val="0"/>
          <w:divBdr>
            <w:top w:val="none" w:sz="0" w:space="0" w:color="auto"/>
            <w:left w:val="none" w:sz="0" w:space="0" w:color="auto"/>
            <w:bottom w:val="none" w:sz="0" w:space="0" w:color="auto"/>
            <w:right w:val="none" w:sz="0" w:space="0" w:color="auto"/>
          </w:divBdr>
        </w:div>
        <w:div w:id="2130126628">
          <w:marLeft w:val="0"/>
          <w:marRight w:val="0"/>
          <w:marTop w:val="0"/>
          <w:marBottom w:val="0"/>
          <w:divBdr>
            <w:top w:val="none" w:sz="0" w:space="0" w:color="auto"/>
            <w:left w:val="none" w:sz="0" w:space="0" w:color="auto"/>
            <w:bottom w:val="none" w:sz="0" w:space="0" w:color="auto"/>
            <w:right w:val="none" w:sz="0" w:space="0" w:color="auto"/>
          </w:divBdr>
        </w:div>
      </w:divsChild>
    </w:div>
    <w:div w:id="1522620230">
      <w:bodyDiv w:val="1"/>
      <w:marLeft w:val="0"/>
      <w:marRight w:val="0"/>
      <w:marTop w:val="0"/>
      <w:marBottom w:val="0"/>
      <w:divBdr>
        <w:top w:val="none" w:sz="0" w:space="0" w:color="auto"/>
        <w:left w:val="none" w:sz="0" w:space="0" w:color="auto"/>
        <w:bottom w:val="none" w:sz="0" w:space="0" w:color="auto"/>
        <w:right w:val="none" w:sz="0" w:space="0" w:color="auto"/>
      </w:divBdr>
      <w:divsChild>
        <w:div w:id="60449456">
          <w:marLeft w:val="0"/>
          <w:marRight w:val="0"/>
          <w:marTop w:val="0"/>
          <w:marBottom w:val="0"/>
          <w:divBdr>
            <w:top w:val="none" w:sz="0" w:space="0" w:color="auto"/>
            <w:left w:val="none" w:sz="0" w:space="0" w:color="auto"/>
            <w:bottom w:val="none" w:sz="0" w:space="0" w:color="auto"/>
            <w:right w:val="none" w:sz="0" w:space="0" w:color="auto"/>
          </w:divBdr>
          <w:divsChild>
            <w:div w:id="1814565061">
              <w:marLeft w:val="0"/>
              <w:marRight w:val="0"/>
              <w:marTop w:val="0"/>
              <w:marBottom w:val="0"/>
              <w:divBdr>
                <w:top w:val="none" w:sz="0" w:space="0" w:color="auto"/>
                <w:left w:val="none" w:sz="0" w:space="0" w:color="auto"/>
                <w:bottom w:val="none" w:sz="0" w:space="0" w:color="auto"/>
                <w:right w:val="none" w:sz="0" w:space="0" w:color="auto"/>
              </w:divBdr>
            </w:div>
          </w:divsChild>
        </w:div>
        <w:div w:id="1104424545">
          <w:marLeft w:val="0"/>
          <w:marRight w:val="0"/>
          <w:marTop w:val="0"/>
          <w:marBottom w:val="0"/>
          <w:divBdr>
            <w:top w:val="none" w:sz="0" w:space="0" w:color="auto"/>
            <w:left w:val="none" w:sz="0" w:space="0" w:color="auto"/>
            <w:bottom w:val="none" w:sz="0" w:space="0" w:color="auto"/>
            <w:right w:val="none" w:sz="0" w:space="0" w:color="auto"/>
          </w:divBdr>
          <w:divsChild>
            <w:div w:id="115373029">
              <w:marLeft w:val="0"/>
              <w:marRight w:val="0"/>
              <w:marTop w:val="0"/>
              <w:marBottom w:val="0"/>
              <w:divBdr>
                <w:top w:val="none" w:sz="0" w:space="0" w:color="auto"/>
                <w:left w:val="none" w:sz="0" w:space="0" w:color="auto"/>
                <w:bottom w:val="none" w:sz="0" w:space="0" w:color="auto"/>
                <w:right w:val="none" w:sz="0" w:space="0" w:color="auto"/>
              </w:divBdr>
            </w:div>
            <w:div w:id="408621171">
              <w:marLeft w:val="0"/>
              <w:marRight w:val="0"/>
              <w:marTop w:val="0"/>
              <w:marBottom w:val="0"/>
              <w:divBdr>
                <w:top w:val="none" w:sz="0" w:space="0" w:color="auto"/>
                <w:left w:val="none" w:sz="0" w:space="0" w:color="auto"/>
                <w:bottom w:val="none" w:sz="0" w:space="0" w:color="auto"/>
                <w:right w:val="none" w:sz="0" w:space="0" w:color="auto"/>
              </w:divBdr>
            </w:div>
            <w:div w:id="1146170394">
              <w:marLeft w:val="0"/>
              <w:marRight w:val="0"/>
              <w:marTop w:val="0"/>
              <w:marBottom w:val="0"/>
              <w:divBdr>
                <w:top w:val="none" w:sz="0" w:space="0" w:color="auto"/>
                <w:left w:val="none" w:sz="0" w:space="0" w:color="auto"/>
                <w:bottom w:val="none" w:sz="0" w:space="0" w:color="auto"/>
                <w:right w:val="none" w:sz="0" w:space="0" w:color="auto"/>
              </w:divBdr>
            </w:div>
            <w:div w:id="1331762419">
              <w:marLeft w:val="0"/>
              <w:marRight w:val="0"/>
              <w:marTop w:val="0"/>
              <w:marBottom w:val="0"/>
              <w:divBdr>
                <w:top w:val="none" w:sz="0" w:space="0" w:color="auto"/>
                <w:left w:val="none" w:sz="0" w:space="0" w:color="auto"/>
                <w:bottom w:val="none" w:sz="0" w:space="0" w:color="auto"/>
                <w:right w:val="none" w:sz="0" w:space="0" w:color="auto"/>
              </w:divBdr>
            </w:div>
            <w:div w:id="182944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5005">
      <w:bodyDiv w:val="1"/>
      <w:marLeft w:val="0"/>
      <w:marRight w:val="0"/>
      <w:marTop w:val="0"/>
      <w:marBottom w:val="0"/>
      <w:divBdr>
        <w:top w:val="none" w:sz="0" w:space="0" w:color="auto"/>
        <w:left w:val="none" w:sz="0" w:space="0" w:color="auto"/>
        <w:bottom w:val="none" w:sz="0" w:space="0" w:color="auto"/>
        <w:right w:val="none" w:sz="0" w:space="0" w:color="auto"/>
      </w:divBdr>
    </w:div>
    <w:div w:id="1724139371">
      <w:bodyDiv w:val="1"/>
      <w:marLeft w:val="0"/>
      <w:marRight w:val="0"/>
      <w:marTop w:val="0"/>
      <w:marBottom w:val="0"/>
      <w:divBdr>
        <w:top w:val="none" w:sz="0" w:space="0" w:color="auto"/>
        <w:left w:val="none" w:sz="0" w:space="0" w:color="auto"/>
        <w:bottom w:val="none" w:sz="0" w:space="0" w:color="auto"/>
        <w:right w:val="none" w:sz="0" w:space="0" w:color="auto"/>
      </w:divBdr>
    </w:div>
    <w:div w:id="1798524037">
      <w:bodyDiv w:val="1"/>
      <w:marLeft w:val="0"/>
      <w:marRight w:val="0"/>
      <w:marTop w:val="0"/>
      <w:marBottom w:val="0"/>
      <w:divBdr>
        <w:top w:val="none" w:sz="0" w:space="0" w:color="auto"/>
        <w:left w:val="none" w:sz="0" w:space="0" w:color="auto"/>
        <w:bottom w:val="none" w:sz="0" w:space="0" w:color="auto"/>
        <w:right w:val="none" w:sz="0" w:space="0" w:color="auto"/>
      </w:divBdr>
    </w:div>
    <w:div w:id="1806972679">
      <w:bodyDiv w:val="1"/>
      <w:marLeft w:val="0"/>
      <w:marRight w:val="0"/>
      <w:marTop w:val="0"/>
      <w:marBottom w:val="0"/>
      <w:divBdr>
        <w:top w:val="none" w:sz="0" w:space="0" w:color="auto"/>
        <w:left w:val="none" w:sz="0" w:space="0" w:color="auto"/>
        <w:bottom w:val="none" w:sz="0" w:space="0" w:color="auto"/>
        <w:right w:val="none" w:sz="0" w:space="0" w:color="auto"/>
      </w:divBdr>
      <w:divsChild>
        <w:div w:id="19166761">
          <w:marLeft w:val="0"/>
          <w:marRight w:val="0"/>
          <w:marTop w:val="0"/>
          <w:marBottom w:val="0"/>
          <w:divBdr>
            <w:top w:val="none" w:sz="0" w:space="0" w:color="auto"/>
            <w:left w:val="none" w:sz="0" w:space="0" w:color="auto"/>
            <w:bottom w:val="none" w:sz="0" w:space="0" w:color="auto"/>
            <w:right w:val="none" w:sz="0" w:space="0" w:color="auto"/>
          </w:divBdr>
        </w:div>
        <w:div w:id="55395924">
          <w:marLeft w:val="0"/>
          <w:marRight w:val="0"/>
          <w:marTop w:val="0"/>
          <w:marBottom w:val="0"/>
          <w:divBdr>
            <w:top w:val="none" w:sz="0" w:space="0" w:color="auto"/>
            <w:left w:val="none" w:sz="0" w:space="0" w:color="auto"/>
            <w:bottom w:val="none" w:sz="0" w:space="0" w:color="auto"/>
            <w:right w:val="none" w:sz="0" w:space="0" w:color="auto"/>
          </w:divBdr>
        </w:div>
        <w:div w:id="61342235">
          <w:marLeft w:val="0"/>
          <w:marRight w:val="0"/>
          <w:marTop w:val="0"/>
          <w:marBottom w:val="0"/>
          <w:divBdr>
            <w:top w:val="none" w:sz="0" w:space="0" w:color="auto"/>
            <w:left w:val="none" w:sz="0" w:space="0" w:color="auto"/>
            <w:bottom w:val="none" w:sz="0" w:space="0" w:color="auto"/>
            <w:right w:val="none" w:sz="0" w:space="0" w:color="auto"/>
          </w:divBdr>
        </w:div>
        <w:div w:id="372197198">
          <w:marLeft w:val="0"/>
          <w:marRight w:val="0"/>
          <w:marTop w:val="0"/>
          <w:marBottom w:val="0"/>
          <w:divBdr>
            <w:top w:val="none" w:sz="0" w:space="0" w:color="auto"/>
            <w:left w:val="none" w:sz="0" w:space="0" w:color="auto"/>
            <w:bottom w:val="none" w:sz="0" w:space="0" w:color="auto"/>
            <w:right w:val="none" w:sz="0" w:space="0" w:color="auto"/>
          </w:divBdr>
        </w:div>
        <w:div w:id="373040482">
          <w:marLeft w:val="0"/>
          <w:marRight w:val="0"/>
          <w:marTop w:val="0"/>
          <w:marBottom w:val="0"/>
          <w:divBdr>
            <w:top w:val="none" w:sz="0" w:space="0" w:color="auto"/>
            <w:left w:val="none" w:sz="0" w:space="0" w:color="auto"/>
            <w:bottom w:val="none" w:sz="0" w:space="0" w:color="auto"/>
            <w:right w:val="none" w:sz="0" w:space="0" w:color="auto"/>
          </w:divBdr>
        </w:div>
        <w:div w:id="526215506">
          <w:marLeft w:val="0"/>
          <w:marRight w:val="0"/>
          <w:marTop w:val="0"/>
          <w:marBottom w:val="0"/>
          <w:divBdr>
            <w:top w:val="none" w:sz="0" w:space="0" w:color="auto"/>
            <w:left w:val="none" w:sz="0" w:space="0" w:color="auto"/>
            <w:bottom w:val="none" w:sz="0" w:space="0" w:color="auto"/>
            <w:right w:val="none" w:sz="0" w:space="0" w:color="auto"/>
          </w:divBdr>
        </w:div>
        <w:div w:id="576552895">
          <w:marLeft w:val="0"/>
          <w:marRight w:val="0"/>
          <w:marTop w:val="0"/>
          <w:marBottom w:val="0"/>
          <w:divBdr>
            <w:top w:val="none" w:sz="0" w:space="0" w:color="auto"/>
            <w:left w:val="none" w:sz="0" w:space="0" w:color="auto"/>
            <w:bottom w:val="none" w:sz="0" w:space="0" w:color="auto"/>
            <w:right w:val="none" w:sz="0" w:space="0" w:color="auto"/>
          </w:divBdr>
        </w:div>
        <w:div w:id="576746768">
          <w:marLeft w:val="0"/>
          <w:marRight w:val="0"/>
          <w:marTop w:val="0"/>
          <w:marBottom w:val="0"/>
          <w:divBdr>
            <w:top w:val="none" w:sz="0" w:space="0" w:color="auto"/>
            <w:left w:val="none" w:sz="0" w:space="0" w:color="auto"/>
            <w:bottom w:val="none" w:sz="0" w:space="0" w:color="auto"/>
            <w:right w:val="none" w:sz="0" w:space="0" w:color="auto"/>
          </w:divBdr>
        </w:div>
        <w:div w:id="616067597">
          <w:marLeft w:val="0"/>
          <w:marRight w:val="0"/>
          <w:marTop w:val="0"/>
          <w:marBottom w:val="0"/>
          <w:divBdr>
            <w:top w:val="none" w:sz="0" w:space="0" w:color="auto"/>
            <w:left w:val="none" w:sz="0" w:space="0" w:color="auto"/>
            <w:bottom w:val="none" w:sz="0" w:space="0" w:color="auto"/>
            <w:right w:val="none" w:sz="0" w:space="0" w:color="auto"/>
          </w:divBdr>
        </w:div>
        <w:div w:id="726105568">
          <w:marLeft w:val="0"/>
          <w:marRight w:val="0"/>
          <w:marTop w:val="0"/>
          <w:marBottom w:val="0"/>
          <w:divBdr>
            <w:top w:val="none" w:sz="0" w:space="0" w:color="auto"/>
            <w:left w:val="none" w:sz="0" w:space="0" w:color="auto"/>
            <w:bottom w:val="none" w:sz="0" w:space="0" w:color="auto"/>
            <w:right w:val="none" w:sz="0" w:space="0" w:color="auto"/>
          </w:divBdr>
        </w:div>
        <w:div w:id="852449964">
          <w:marLeft w:val="0"/>
          <w:marRight w:val="0"/>
          <w:marTop w:val="0"/>
          <w:marBottom w:val="0"/>
          <w:divBdr>
            <w:top w:val="none" w:sz="0" w:space="0" w:color="auto"/>
            <w:left w:val="none" w:sz="0" w:space="0" w:color="auto"/>
            <w:bottom w:val="none" w:sz="0" w:space="0" w:color="auto"/>
            <w:right w:val="none" w:sz="0" w:space="0" w:color="auto"/>
          </w:divBdr>
        </w:div>
        <w:div w:id="960308749">
          <w:marLeft w:val="0"/>
          <w:marRight w:val="0"/>
          <w:marTop w:val="0"/>
          <w:marBottom w:val="0"/>
          <w:divBdr>
            <w:top w:val="none" w:sz="0" w:space="0" w:color="auto"/>
            <w:left w:val="none" w:sz="0" w:space="0" w:color="auto"/>
            <w:bottom w:val="none" w:sz="0" w:space="0" w:color="auto"/>
            <w:right w:val="none" w:sz="0" w:space="0" w:color="auto"/>
          </w:divBdr>
        </w:div>
        <w:div w:id="1096563188">
          <w:marLeft w:val="0"/>
          <w:marRight w:val="0"/>
          <w:marTop w:val="0"/>
          <w:marBottom w:val="0"/>
          <w:divBdr>
            <w:top w:val="none" w:sz="0" w:space="0" w:color="auto"/>
            <w:left w:val="none" w:sz="0" w:space="0" w:color="auto"/>
            <w:bottom w:val="none" w:sz="0" w:space="0" w:color="auto"/>
            <w:right w:val="none" w:sz="0" w:space="0" w:color="auto"/>
          </w:divBdr>
        </w:div>
        <w:div w:id="1142112908">
          <w:marLeft w:val="0"/>
          <w:marRight w:val="0"/>
          <w:marTop w:val="0"/>
          <w:marBottom w:val="0"/>
          <w:divBdr>
            <w:top w:val="none" w:sz="0" w:space="0" w:color="auto"/>
            <w:left w:val="none" w:sz="0" w:space="0" w:color="auto"/>
            <w:bottom w:val="none" w:sz="0" w:space="0" w:color="auto"/>
            <w:right w:val="none" w:sz="0" w:space="0" w:color="auto"/>
          </w:divBdr>
        </w:div>
        <w:div w:id="1199243388">
          <w:marLeft w:val="0"/>
          <w:marRight w:val="0"/>
          <w:marTop w:val="0"/>
          <w:marBottom w:val="0"/>
          <w:divBdr>
            <w:top w:val="none" w:sz="0" w:space="0" w:color="auto"/>
            <w:left w:val="none" w:sz="0" w:space="0" w:color="auto"/>
            <w:bottom w:val="none" w:sz="0" w:space="0" w:color="auto"/>
            <w:right w:val="none" w:sz="0" w:space="0" w:color="auto"/>
          </w:divBdr>
        </w:div>
        <w:div w:id="1327513724">
          <w:marLeft w:val="0"/>
          <w:marRight w:val="0"/>
          <w:marTop w:val="0"/>
          <w:marBottom w:val="0"/>
          <w:divBdr>
            <w:top w:val="none" w:sz="0" w:space="0" w:color="auto"/>
            <w:left w:val="none" w:sz="0" w:space="0" w:color="auto"/>
            <w:bottom w:val="none" w:sz="0" w:space="0" w:color="auto"/>
            <w:right w:val="none" w:sz="0" w:space="0" w:color="auto"/>
          </w:divBdr>
        </w:div>
        <w:div w:id="1373917515">
          <w:marLeft w:val="0"/>
          <w:marRight w:val="0"/>
          <w:marTop w:val="0"/>
          <w:marBottom w:val="0"/>
          <w:divBdr>
            <w:top w:val="none" w:sz="0" w:space="0" w:color="auto"/>
            <w:left w:val="none" w:sz="0" w:space="0" w:color="auto"/>
            <w:bottom w:val="none" w:sz="0" w:space="0" w:color="auto"/>
            <w:right w:val="none" w:sz="0" w:space="0" w:color="auto"/>
          </w:divBdr>
        </w:div>
        <w:div w:id="1512836457">
          <w:marLeft w:val="0"/>
          <w:marRight w:val="0"/>
          <w:marTop w:val="0"/>
          <w:marBottom w:val="0"/>
          <w:divBdr>
            <w:top w:val="none" w:sz="0" w:space="0" w:color="auto"/>
            <w:left w:val="none" w:sz="0" w:space="0" w:color="auto"/>
            <w:bottom w:val="none" w:sz="0" w:space="0" w:color="auto"/>
            <w:right w:val="none" w:sz="0" w:space="0" w:color="auto"/>
          </w:divBdr>
        </w:div>
        <w:div w:id="1553927399">
          <w:marLeft w:val="0"/>
          <w:marRight w:val="0"/>
          <w:marTop w:val="0"/>
          <w:marBottom w:val="0"/>
          <w:divBdr>
            <w:top w:val="none" w:sz="0" w:space="0" w:color="auto"/>
            <w:left w:val="none" w:sz="0" w:space="0" w:color="auto"/>
            <w:bottom w:val="none" w:sz="0" w:space="0" w:color="auto"/>
            <w:right w:val="none" w:sz="0" w:space="0" w:color="auto"/>
          </w:divBdr>
        </w:div>
        <w:div w:id="1650548811">
          <w:marLeft w:val="0"/>
          <w:marRight w:val="0"/>
          <w:marTop w:val="0"/>
          <w:marBottom w:val="0"/>
          <w:divBdr>
            <w:top w:val="none" w:sz="0" w:space="0" w:color="auto"/>
            <w:left w:val="none" w:sz="0" w:space="0" w:color="auto"/>
            <w:bottom w:val="none" w:sz="0" w:space="0" w:color="auto"/>
            <w:right w:val="none" w:sz="0" w:space="0" w:color="auto"/>
          </w:divBdr>
          <w:divsChild>
            <w:div w:id="910701514">
              <w:marLeft w:val="-75"/>
              <w:marRight w:val="0"/>
              <w:marTop w:val="30"/>
              <w:marBottom w:val="30"/>
              <w:divBdr>
                <w:top w:val="none" w:sz="0" w:space="0" w:color="auto"/>
                <w:left w:val="none" w:sz="0" w:space="0" w:color="auto"/>
                <w:bottom w:val="none" w:sz="0" w:space="0" w:color="auto"/>
                <w:right w:val="none" w:sz="0" w:space="0" w:color="auto"/>
              </w:divBdr>
              <w:divsChild>
                <w:div w:id="550533">
                  <w:marLeft w:val="0"/>
                  <w:marRight w:val="0"/>
                  <w:marTop w:val="0"/>
                  <w:marBottom w:val="0"/>
                  <w:divBdr>
                    <w:top w:val="none" w:sz="0" w:space="0" w:color="auto"/>
                    <w:left w:val="none" w:sz="0" w:space="0" w:color="auto"/>
                    <w:bottom w:val="none" w:sz="0" w:space="0" w:color="auto"/>
                    <w:right w:val="none" w:sz="0" w:space="0" w:color="auto"/>
                  </w:divBdr>
                  <w:divsChild>
                    <w:div w:id="1473325939">
                      <w:marLeft w:val="0"/>
                      <w:marRight w:val="0"/>
                      <w:marTop w:val="0"/>
                      <w:marBottom w:val="0"/>
                      <w:divBdr>
                        <w:top w:val="none" w:sz="0" w:space="0" w:color="auto"/>
                        <w:left w:val="none" w:sz="0" w:space="0" w:color="auto"/>
                        <w:bottom w:val="none" w:sz="0" w:space="0" w:color="auto"/>
                        <w:right w:val="none" w:sz="0" w:space="0" w:color="auto"/>
                      </w:divBdr>
                    </w:div>
                  </w:divsChild>
                </w:div>
                <w:div w:id="54202303">
                  <w:marLeft w:val="0"/>
                  <w:marRight w:val="0"/>
                  <w:marTop w:val="0"/>
                  <w:marBottom w:val="0"/>
                  <w:divBdr>
                    <w:top w:val="none" w:sz="0" w:space="0" w:color="auto"/>
                    <w:left w:val="none" w:sz="0" w:space="0" w:color="auto"/>
                    <w:bottom w:val="none" w:sz="0" w:space="0" w:color="auto"/>
                    <w:right w:val="none" w:sz="0" w:space="0" w:color="auto"/>
                  </w:divBdr>
                  <w:divsChild>
                    <w:div w:id="2106222579">
                      <w:marLeft w:val="0"/>
                      <w:marRight w:val="0"/>
                      <w:marTop w:val="0"/>
                      <w:marBottom w:val="0"/>
                      <w:divBdr>
                        <w:top w:val="none" w:sz="0" w:space="0" w:color="auto"/>
                        <w:left w:val="none" w:sz="0" w:space="0" w:color="auto"/>
                        <w:bottom w:val="none" w:sz="0" w:space="0" w:color="auto"/>
                        <w:right w:val="none" w:sz="0" w:space="0" w:color="auto"/>
                      </w:divBdr>
                    </w:div>
                  </w:divsChild>
                </w:div>
                <w:div w:id="84300983">
                  <w:marLeft w:val="0"/>
                  <w:marRight w:val="0"/>
                  <w:marTop w:val="0"/>
                  <w:marBottom w:val="0"/>
                  <w:divBdr>
                    <w:top w:val="none" w:sz="0" w:space="0" w:color="auto"/>
                    <w:left w:val="none" w:sz="0" w:space="0" w:color="auto"/>
                    <w:bottom w:val="none" w:sz="0" w:space="0" w:color="auto"/>
                    <w:right w:val="none" w:sz="0" w:space="0" w:color="auto"/>
                  </w:divBdr>
                  <w:divsChild>
                    <w:div w:id="291138070">
                      <w:marLeft w:val="0"/>
                      <w:marRight w:val="0"/>
                      <w:marTop w:val="0"/>
                      <w:marBottom w:val="0"/>
                      <w:divBdr>
                        <w:top w:val="none" w:sz="0" w:space="0" w:color="auto"/>
                        <w:left w:val="none" w:sz="0" w:space="0" w:color="auto"/>
                        <w:bottom w:val="none" w:sz="0" w:space="0" w:color="auto"/>
                        <w:right w:val="none" w:sz="0" w:space="0" w:color="auto"/>
                      </w:divBdr>
                    </w:div>
                  </w:divsChild>
                </w:div>
                <w:div w:id="106463017">
                  <w:marLeft w:val="0"/>
                  <w:marRight w:val="0"/>
                  <w:marTop w:val="0"/>
                  <w:marBottom w:val="0"/>
                  <w:divBdr>
                    <w:top w:val="none" w:sz="0" w:space="0" w:color="auto"/>
                    <w:left w:val="none" w:sz="0" w:space="0" w:color="auto"/>
                    <w:bottom w:val="none" w:sz="0" w:space="0" w:color="auto"/>
                    <w:right w:val="none" w:sz="0" w:space="0" w:color="auto"/>
                  </w:divBdr>
                  <w:divsChild>
                    <w:div w:id="873231098">
                      <w:marLeft w:val="0"/>
                      <w:marRight w:val="0"/>
                      <w:marTop w:val="0"/>
                      <w:marBottom w:val="0"/>
                      <w:divBdr>
                        <w:top w:val="none" w:sz="0" w:space="0" w:color="auto"/>
                        <w:left w:val="none" w:sz="0" w:space="0" w:color="auto"/>
                        <w:bottom w:val="none" w:sz="0" w:space="0" w:color="auto"/>
                        <w:right w:val="none" w:sz="0" w:space="0" w:color="auto"/>
                      </w:divBdr>
                    </w:div>
                  </w:divsChild>
                </w:div>
                <w:div w:id="132866734">
                  <w:marLeft w:val="0"/>
                  <w:marRight w:val="0"/>
                  <w:marTop w:val="0"/>
                  <w:marBottom w:val="0"/>
                  <w:divBdr>
                    <w:top w:val="none" w:sz="0" w:space="0" w:color="auto"/>
                    <w:left w:val="none" w:sz="0" w:space="0" w:color="auto"/>
                    <w:bottom w:val="none" w:sz="0" w:space="0" w:color="auto"/>
                    <w:right w:val="none" w:sz="0" w:space="0" w:color="auto"/>
                  </w:divBdr>
                  <w:divsChild>
                    <w:div w:id="810755522">
                      <w:marLeft w:val="0"/>
                      <w:marRight w:val="0"/>
                      <w:marTop w:val="0"/>
                      <w:marBottom w:val="0"/>
                      <w:divBdr>
                        <w:top w:val="none" w:sz="0" w:space="0" w:color="auto"/>
                        <w:left w:val="none" w:sz="0" w:space="0" w:color="auto"/>
                        <w:bottom w:val="none" w:sz="0" w:space="0" w:color="auto"/>
                        <w:right w:val="none" w:sz="0" w:space="0" w:color="auto"/>
                      </w:divBdr>
                    </w:div>
                  </w:divsChild>
                </w:div>
                <w:div w:id="286589057">
                  <w:marLeft w:val="0"/>
                  <w:marRight w:val="0"/>
                  <w:marTop w:val="0"/>
                  <w:marBottom w:val="0"/>
                  <w:divBdr>
                    <w:top w:val="none" w:sz="0" w:space="0" w:color="auto"/>
                    <w:left w:val="none" w:sz="0" w:space="0" w:color="auto"/>
                    <w:bottom w:val="none" w:sz="0" w:space="0" w:color="auto"/>
                    <w:right w:val="none" w:sz="0" w:space="0" w:color="auto"/>
                  </w:divBdr>
                  <w:divsChild>
                    <w:div w:id="3363933">
                      <w:marLeft w:val="0"/>
                      <w:marRight w:val="0"/>
                      <w:marTop w:val="0"/>
                      <w:marBottom w:val="0"/>
                      <w:divBdr>
                        <w:top w:val="none" w:sz="0" w:space="0" w:color="auto"/>
                        <w:left w:val="none" w:sz="0" w:space="0" w:color="auto"/>
                        <w:bottom w:val="none" w:sz="0" w:space="0" w:color="auto"/>
                        <w:right w:val="none" w:sz="0" w:space="0" w:color="auto"/>
                      </w:divBdr>
                    </w:div>
                  </w:divsChild>
                </w:div>
                <w:div w:id="304941700">
                  <w:marLeft w:val="0"/>
                  <w:marRight w:val="0"/>
                  <w:marTop w:val="0"/>
                  <w:marBottom w:val="0"/>
                  <w:divBdr>
                    <w:top w:val="none" w:sz="0" w:space="0" w:color="auto"/>
                    <w:left w:val="none" w:sz="0" w:space="0" w:color="auto"/>
                    <w:bottom w:val="none" w:sz="0" w:space="0" w:color="auto"/>
                    <w:right w:val="none" w:sz="0" w:space="0" w:color="auto"/>
                  </w:divBdr>
                  <w:divsChild>
                    <w:div w:id="1125196239">
                      <w:marLeft w:val="0"/>
                      <w:marRight w:val="0"/>
                      <w:marTop w:val="0"/>
                      <w:marBottom w:val="0"/>
                      <w:divBdr>
                        <w:top w:val="none" w:sz="0" w:space="0" w:color="auto"/>
                        <w:left w:val="none" w:sz="0" w:space="0" w:color="auto"/>
                        <w:bottom w:val="none" w:sz="0" w:space="0" w:color="auto"/>
                        <w:right w:val="none" w:sz="0" w:space="0" w:color="auto"/>
                      </w:divBdr>
                    </w:div>
                  </w:divsChild>
                </w:div>
                <w:div w:id="306210331">
                  <w:marLeft w:val="0"/>
                  <w:marRight w:val="0"/>
                  <w:marTop w:val="0"/>
                  <w:marBottom w:val="0"/>
                  <w:divBdr>
                    <w:top w:val="none" w:sz="0" w:space="0" w:color="auto"/>
                    <w:left w:val="none" w:sz="0" w:space="0" w:color="auto"/>
                    <w:bottom w:val="none" w:sz="0" w:space="0" w:color="auto"/>
                    <w:right w:val="none" w:sz="0" w:space="0" w:color="auto"/>
                  </w:divBdr>
                  <w:divsChild>
                    <w:div w:id="511145069">
                      <w:marLeft w:val="0"/>
                      <w:marRight w:val="0"/>
                      <w:marTop w:val="0"/>
                      <w:marBottom w:val="0"/>
                      <w:divBdr>
                        <w:top w:val="none" w:sz="0" w:space="0" w:color="auto"/>
                        <w:left w:val="none" w:sz="0" w:space="0" w:color="auto"/>
                        <w:bottom w:val="none" w:sz="0" w:space="0" w:color="auto"/>
                        <w:right w:val="none" w:sz="0" w:space="0" w:color="auto"/>
                      </w:divBdr>
                    </w:div>
                  </w:divsChild>
                </w:div>
                <w:div w:id="487289468">
                  <w:marLeft w:val="0"/>
                  <w:marRight w:val="0"/>
                  <w:marTop w:val="0"/>
                  <w:marBottom w:val="0"/>
                  <w:divBdr>
                    <w:top w:val="none" w:sz="0" w:space="0" w:color="auto"/>
                    <w:left w:val="none" w:sz="0" w:space="0" w:color="auto"/>
                    <w:bottom w:val="none" w:sz="0" w:space="0" w:color="auto"/>
                    <w:right w:val="none" w:sz="0" w:space="0" w:color="auto"/>
                  </w:divBdr>
                  <w:divsChild>
                    <w:div w:id="1204362846">
                      <w:marLeft w:val="0"/>
                      <w:marRight w:val="0"/>
                      <w:marTop w:val="0"/>
                      <w:marBottom w:val="0"/>
                      <w:divBdr>
                        <w:top w:val="none" w:sz="0" w:space="0" w:color="auto"/>
                        <w:left w:val="none" w:sz="0" w:space="0" w:color="auto"/>
                        <w:bottom w:val="none" w:sz="0" w:space="0" w:color="auto"/>
                        <w:right w:val="none" w:sz="0" w:space="0" w:color="auto"/>
                      </w:divBdr>
                    </w:div>
                  </w:divsChild>
                </w:div>
                <w:div w:id="541333309">
                  <w:marLeft w:val="0"/>
                  <w:marRight w:val="0"/>
                  <w:marTop w:val="0"/>
                  <w:marBottom w:val="0"/>
                  <w:divBdr>
                    <w:top w:val="none" w:sz="0" w:space="0" w:color="auto"/>
                    <w:left w:val="none" w:sz="0" w:space="0" w:color="auto"/>
                    <w:bottom w:val="none" w:sz="0" w:space="0" w:color="auto"/>
                    <w:right w:val="none" w:sz="0" w:space="0" w:color="auto"/>
                  </w:divBdr>
                  <w:divsChild>
                    <w:div w:id="899747625">
                      <w:marLeft w:val="0"/>
                      <w:marRight w:val="0"/>
                      <w:marTop w:val="0"/>
                      <w:marBottom w:val="0"/>
                      <w:divBdr>
                        <w:top w:val="none" w:sz="0" w:space="0" w:color="auto"/>
                        <w:left w:val="none" w:sz="0" w:space="0" w:color="auto"/>
                        <w:bottom w:val="none" w:sz="0" w:space="0" w:color="auto"/>
                        <w:right w:val="none" w:sz="0" w:space="0" w:color="auto"/>
                      </w:divBdr>
                    </w:div>
                  </w:divsChild>
                </w:div>
                <w:div w:id="557129243">
                  <w:marLeft w:val="0"/>
                  <w:marRight w:val="0"/>
                  <w:marTop w:val="0"/>
                  <w:marBottom w:val="0"/>
                  <w:divBdr>
                    <w:top w:val="none" w:sz="0" w:space="0" w:color="auto"/>
                    <w:left w:val="none" w:sz="0" w:space="0" w:color="auto"/>
                    <w:bottom w:val="none" w:sz="0" w:space="0" w:color="auto"/>
                    <w:right w:val="none" w:sz="0" w:space="0" w:color="auto"/>
                  </w:divBdr>
                  <w:divsChild>
                    <w:div w:id="2127891581">
                      <w:marLeft w:val="0"/>
                      <w:marRight w:val="0"/>
                      <w:marTop w:val="0"/>
                      <w:marBottom w:val="0"/>
                      <w:divBdr>
                        <w:top w:val="none" w:sz="0" w:space="0" w:color="auto"/>
                        <w:left w:val="none" w:sz="0" w:space="0" w:color="auto"/>
                        <w:bottom w:val="none" w:sz="0" w:space="0" w:color="auto"/>
                        <w:right w:val="none" w:sz="0" w:space="0" w:color="auto"/>
                      </w:divBdr>
                    </w:div>
                  </w:divsChild>
                </w:div>
                <w:div w:id="591663501">
                  <w:marLeft w:val="0"/>
                  <w:marRight w:val="0"/>
                  <w:marTop w:val="0"/>
                  <w:marBottom w:val="0"/>
                  <w:divBdr>
                    <w:top w:val="none" w:sz="0" w:space="0" w:color="auto"/>
                    <w:left w:val="none" w:sz="0" w:space="0" w:color="auto"/>
                    <w:bottom w:val="none" w:sz="0" w:space="0" w:color="auto"/>
                    <w:right w:val="none" w:sz="0" w:space="0" w:color="auto"/>
                  </w:divBdr>
                  <w:divsChild>
                    <w:div w:id="539054947">
                      <w:marLeft w:val="0"/>
                      <w:marRight w:val="0"/>
                      <w:marTop w:val="0"/>
                      <w:marBottom w:val="0"/>
                      <w:divBdr>
                        <w:top w:val="none" w:sz="0" w:space="0" w:color="auto"/>
                        <w:left w:val="none" w:sz="0" w:space="0" w:color="auto"/>
                        <w:bottom w:val="none" w:sz="0" w:space="0" w:color="auto"/>
                        <w:right w:val="none" w:sz="0" w:space="0" w:color="auto"/>
                      </w:divBdr>
                    </w:div>
                  </w:divsChild>
                </w:div>
                <w:div w:id="632835175">
                  <w:marLeft w:val="0"/>
                  <w:marRight w:val="0"/>
                  <w:marTop w:val="0"/>
                  <w:marBottom w:val="0"/>
                  <w:divBdr>
                    <w:top w:val="none" w:sz="0" w:space="0" w:color="auto"/>
                    <w:left w:val="none" w:sz="0" w:space="0" w:color="auto"/>
                    <w:bottom w:val="none" w:sz="0" w:space="0" w:color="auto"/>
                    <w:right w:val="none" w:sz="0" w:space="0" w:color="auto"/>
                  </w:divBdr>
                  <w:divsChild>
                    <w:div w:id="645934574">
                      <w:marLeft w:val="0"/>
                      <w:marRight w:val="0"/>
                      <w:marTop w:val="0"/>
                      <w:marBottom w:val="0"/>
                      <w:divBdr>
                        <w:top w:val="none" w:sz="0" w:space="0" w:color="auto"/>
                        <w:left w:val="none" w:sz="0" w:space="0" w:color="auto"/>
                        <w:bottom w:val="none" w:sz="0" w:space="0" w:color="auto"/>
                        <w:right w:val="none" w:sz="0" w:space="0" w:color="auto"/>
                      </w:divBdr>
                    </w:div>
                  </w:divsChild>
                </w:div>
                <w:div w:id="658651663">
                  <w:marLeft w:val="0"/>
                  <w:marRight w:val="0"/>
                  <w:marTop w:val="0"/>
                  <w:marBottom w:val="0"/>
                  <w:divBdr>
                    <w:top w:val="none" w:sz="0" w:space="0" w:color="auto"/>
                    <w:left w:val="none" w:sz="0" w:space="0" w:color="auto"/>
                    <w:bottom w:val="none" w:sz="0" w:space="0" w:color="auto"/>
                    <w:right w:val="none" w:sz="0" w:space="0" w:color="auto"/>
                  </w:divBdr>
                  <w:divsChild>
                    <w:div w:id="1877430452">
                      <w:marLeft w:val="0"/>
                      <w:marRight w:val="0"/>
                      <w:marTop w:val="0"/>
                      <w:marBottom w:val="0"/>
                      <w:divBdr>
                        <w:top w:val="none" w:sz="0" w:space="0" w:color="auto"/>
                        <w:left w:val="none" w:sz="0" w:space="0" w:color="auto"/>
                        <w:bottom w:val="none" w:sz="0" w:space="0" w:color="auto"/>
                        <w:right w:val="none" w:sz="0" w:space="0" w:color="auto"/>
                      </w:divBdr>
                    </w:div>
                  </w:divsChild>
                </w:div>
                <w:div w:id="677659695">
                  <w:marLeft w:val="0"/>
                  <w:marRight w:val="0"/>
                  <w:marTop w:val="0"/>
                  <w:marBottom w:val="0"/>
                  <w:divBdr>
                    <w:top w:val="none" w:sz="0" w:space="0" w:color="auto"/>
                    <w:left w:val="none" w:sz="0" w:space="0" w:color="auto"/>
                    <w:bottom w:val="none" w:sz="0" w:space="0" w:color="auto"/>
                    <w:right w:val="none" w:sz="0" w:space="0" w:color="auto"/>
                  </w:divBdr>
                  <w:divsChild>
                    <w:div w:id="1948343687">
                      <w:marLeft w:val="0"/>
                      <w:marRight w:val="0"/>
                      <w:marTop w:val="0"/>
                      <w:marBottom w:val="0"/>
                      <w:divBdr>
                        <w:top w:val="none" w:sz="0" w:space="0" w:color="auto"/>
                        <w:left w:val="none" w:sz="0" w:space="0" w:color="auto"/>
                        <w:bottom w:val="none" w:sz="0" w:space="0" w:color="auto"/>
                        <w:right w:val="none" w:sz="0" w:space="0" w:color="auto"/>
                      </w:divBdr>
                    </w:div>
                  </w:divsChild>
                </w:div>
                <w:div w:id="860123216">
                  <w:marLeft w:val="0"/>
                  <w:marRight w:val="0"/>
                  <w:marTop w:val="0"/>
                  <w:marBottom w:val="0"/>
                  <w:divBdr>
                    <w:top w:val="none" w:sz="0" w:space="0" w:color="auto"/>
                    <w:left w:val="none" w:sz="0" w:space="0" w:color="auto"/>
                    <w:bottom w:val="none" w:sz="0" w:space="0" w:color="auto"/>
                    <w:right w:val="none" w:sz="0" w:space="0" w:color="auto"/>
                  </w:divBdr>
                  <w:divsChild>
                    <w:div w:id="1496264832">
                      <w:marLeft w:val="0"/>
                      <w:marRight w:val="0"/>
                      <w:marTop w:val="0"/>
                      <w:marBottom w:val="0"/>
                      <w:divBdr>
                        <w:top w:val="none" w:sz="0" w:space="0" w:color="auto"/>
                        <w:left w:val="none" w:sz="0" w:space="0" w:color="auto"/>
                        <w:bottom w:val="none" w:sz="0" w:space="0" w:color="auto"/>
                        <w:right w:val="none" w:sz="0" w:space="0" w:color="auto"/>
                      </w:divBdr>
                    </w:div>
                  </w:divsChild>
                </w:div>
                <w:div w:id="864294528">
                  <w:marLeft w:val="0"/>
                  <w:marRight w:val="0"/>
                  <w:marTop w:val="0"/>
                  <w:marBottom w:val="0"/>
                  <w:divBdr>
                    <w:top w:val="none" w:sz="0" w:space="0" w:color="auto"/>
                    <w:left w:val="none" w:sz="0" w:space="0" w:color="auto"/>
                    <w:bottom w:val="none" w:sz="0" w:space="0" w:color="auto"/>
                    <w:right w:val="none" w:sz="0" w:space="0" w:color="auto"/>
                  </w:divBdr>
                  <w:divsChild>
                    <w:div w:id="1921016967">
                      <w:marLeft w:val="0"/>
                      <w:marRight w:val="0"/>
                      <w:marTop w:val="0"/>
                      <w:marBottom w:val="0"/>
                      <w:divBdr>
                        <w:top w:val="none" w:sz="0" w:space="0" w:color="auto"/>
                        <w:left w:val="none" w:sz="0" w:space="0" w:color="auto"/>
                        <w:bottom w:val="none" w:sz="0" w:space="0" w:color="auto"/>
                        <w:right w:val="none" w:sz="0" w:space="0" w:color="auto"/>
                      </w:divBdr>
                    </w:div>
                  </w:divsChild>
                </w:div>
                <w:div w:id="880627727">
                  <w:marLeft w:val="0"/>
                  <w:marRight w:val="0"/>
                  <w:marTop w:val="0"/>
                  <w:marBottom w:val="0"/>
                  <w:divBdr>
                    <w:top w:val="none" w:sz="0" w:space="0" w:color="auto"/>
                    <w:left w:val="none" w:sz="0" w:space="0" w:color="auto"/>
                    <w:bottom w:val="none" w:sz="0" w:space="0" w:color="auto"/>
                    <w:right w:val="none" w:sz="0" w:space="0" w:color="auto"/>
                  </w:divBdr>
                  <w:divsChild>
                    <w:div w:id="1977908451">
                      <w:marLeft w:val="0"/>
                      <w:marRight w:val="0"/>
                      <w:marTop w:val="0"/>
                      <w:marBottom w:val="0"/>
                      <w:divBdr>
                        <w:top w:val="none" w:sz="0" w:space="0" w:color="auto"/>
                        <w:left w:val="none" w:sz="0" w:space="0" w:color="auto"/>
                        <w:bottom w:val="none" w:sz="0" w:space="0" w:color="auto"/>
                        <w:right w:val="none" w:sz="0" w:space="0" w:color="auto"/>
                      </w:divBdr>
                    </w:div>
                  </w:divsChild>
                </w:div>
                <w:div w:id="913901355">
                  <w:marLeft w:val="0"/>
                  <w:marRight w:val="0"/>
                  <w:marTop w:val="0"/>
                  <w:marBottom w:val="0"/>
                  <w:divBdr>
                    <w:top w:val="none" w:sz="0" w:space="0" w:color="auto"/>
                    <w:left w:val="none" w:sz="0" w:space="0" w:color="auto"/>
                    <w:bottom w:val="none" w:sz="0" w:space="0" w:color="auto"/>
                    <w:right w:val="none" w:sz="0" w:space="0" w:color="auto"/>
                  </w:divBdr>
                  <w:divsChild>
                    <w:div w:id="1715739668">
                      <w:marLeft w:val="0"/>
                      <w:marRight w:val="0"/>
                      <w:marTop w:val="0"/>
                      <w:marBottom w:val="0"/>
                      <w:divBdr>
                        <w:top w:val="none" w:sz="0" w:space="0" w:color="auto"/>
                        <w:left w:val="none" w:sz="0" w:space="0" w:color="auto"/>
                        <w:bottom w:val="none" w:sz="0" w:space="0" w:color="auto"/>
                        <w:right w:val="none" w:sz="0" w:space="0" w:color="auto"/>
                      </w:divBdr>
                    </w:div>
                  </w:divsChild>
                </w:div>
                <w:div w:id="925117139">
                  <w:marLeft w:val="0"/>
                  <w:marRight w:val="0"/>
                  <w:marTop w:val="0"/>
                  <w:marBottom w:val="0"/>
                  <w:divBdr>
                    <w:top w:val="none" w:sz="0" w:space="0" w:color="auto"/>
                    <w:left w:val="none" w:sz="0" w:space="0" w:color="auto"/>
                    <w:bottom w:val="none" w:sz="0" w:space="0" w:color="auto"/>
                    <w:right w:val="none" w:sz="0" w:space="0" w:color="auto"/>
                  </w:divBdr>
                  <w:divsChild>
                    <w:div w:id="1622569123">
                      <w:marLeft w:val="0"/>
                      <w:marRight w:val="0"/>
                      <w:marTop w:val="0"/>
                      <w:marBottom w:val="0"/>
                      <w:divBdr>
                        <w:top w:val="none" w:sz="0" w:space="0" w:color="auto"/>
                        <w:left w:val="none" w:sz="0" w:space="0" w:color="auto"/>
                        <w:bottom w:val="none" w:sz="0" w:space="0" w:color="auto"/>
                        <w:right w:val="none" w:sz="0" w:space="0" w:color="auto"/>
                      </w:divBdr>
                    </w:div>
                  </w:divsChild>
                </w:div>
                <w:div w:id="1010256786">
                  <w:marLeft w:val="0"/>
                  <w:marRight w:val="0"/>
                  <w:marTop w:val="0"/>
                  <w:marBottom w:val="0"/>
                  <w:divBdr>
                    <w:top w:val="none" w:sz="0" w:space="0" w:color="auto"/>
                    <w:left w:val="none" w:sz="0" w:space="0" w:color="auto"/>
                    <w:bottom w:val="none" w:sz="0" w:space="0" w:color="auto"/>
                    <w:right w:val="none" w:sz="0" w:space="0" w:color="auto"/>
                  </w:divBdr>
                  <w:divsChild>
                    <w:div w:id="2065255628">
                      <w:marLeft w:val="0"/>
                      <w:marRight w:val="0"/>
                      <w:marTop w:val="0"/>
                      <w:marBottom w:val="0"/>
                      <w:divBdr>
                        <w:top w:val="none" w:sz="0" w:space="0" w:color="auto"/>
                        <w:left w:val="none" w:sz="0" w:space="0" w:color="auto"/>
                        <w:bottom w:val="none" w:sz="0" w:space="0" w:color="auto"/>
                        <w:right w:val="none" w:sz="0" w:space="0" w:color="auto"/>
                      </w:divBdr>
                    </w:div>
                  </w:divsChild>
                </w:div>
                <w:div w:id="1058165301">
                  <w:marLeft w:val="0"/>
                  <w:marRight w:val="0"/>
                  <w:marTop w:val="0"/>
                  <w:marBottom w:val="0"/>
                  <w:divBdr>
                    <w:top w:val="none" w:sz="0" w:space="0" w:color="auto"/>
                    <w:left w:val="none" w:sz="0" w:space="0" w:color="auto"/>
                    <w:bottom w:val="none" w:sz="0" w:space="0" w:color="auto"/>
                    <w:right w:val="none" w:sz="0" w:space="0" w:color="auto"/>
                  </w:divBdr>
                  <w:divsChild>
                    <w:div w:id="358509847">
                      <w:marLeft w:val="0"/>
                      <w:marRight w:val="0"/>
                      <w:marTop w:val="0"/>
                      <w:marBottom w:val="0"/>
                      <w:divBdr>
                        <w:top w:val="none" w:sz="0" w:space="0" w:color="auto"/>
                        <w:left w:val="none" w:sz="0" w:space="0" w:color="auto"/>
                        <w:bottom w:val="none" w:sz="0" w:space="0" w:color="auto"/>
                        <w:right w:val="none" w:sz="0" w:space="0" w:color="auto"/>
                      </w:divBdr>
                    </w:div>
                  </w:divsChild>
                </w:div>
                <w:div w:id="1071923244">
                  <w:marLeft w:val="0"/>
                  <w:marRight w:val="0"/>
                  <w:marTop w:val="0"/>
                  <w:marBottom w:val="0"/>
                  <w:divBdr>
                    <w:top w:val="none" w:sz="0" w:space="0" w:color="auto"/>
                    <w:left w:val="none" w:sz="0" w:space="0" w:color="auto"/>
                    <w:bottom w:val="none" w:sz="0" w:space="0" w:color="auto"/>
                    <w:right w:val="none" w:sz="0" w:space="0" w:color="auto"/>
                  </w:divBdr>
                  <w:divsChild>
                    <w:div w:id="112217565">
                      <w:marLeft w:val="0"/>
                      <w:marRight w:val="0"/>
                      <w:marTop w:val="0"/>
                      <w:marBottom w:val="0"/>
                      <w:divBdr>
                        <w:top w:val="none" w:sz="0" w:space="0" w:color="auto"/>
                        <w:left w:val="none" w:sz="0" w:space="0" w:color="auto"/>
                        <w:bottom w:val="none" w:sz="0" w:space="0" w:color="auto"/>
                        <w:right w:val="none" w:sz="0" w:space="0" w:color="auto"/>
                      </w:divBdr>
                    </w:div>
                  </w:divsChild>
                </w:div>
                <w:div w:id="1105155716">
                  <w:marLeft w:val="0"/>
                  <w:marRight w:val="0"/>
                  <w:marTop w:val="0"/>
                  <w:marBottom w:val="0"/>
                  <w:divBdr>
                    <w:top w:val="none" w:sz="0" w:space="0" w:color="auto"/>
                    <w:left w:val="none" w:sz="0" w:space="0" w:color="auto"/>
                    <w:bottom w:val="none" w:sz="0" w:space="0" w:color="auto"/>
                    <w:right w:val="none" w:sz="0" w:space="0" w:color="auto"/>
                  </w:divBdr>
                  <w:divsChild>
                    <w:div w:id="6837039">
                      <w:marLeft w:val="0"/>
                      <w:marRight w:val="0"/>
                      <w:marTop w:val="0"/>
                      <w:marBottom w:val="0"/>
                      <w:divBdr>
                        <w:top w:val="none" w:sz="0" w:space="0" w:color="auto"/>
                        <w:left w:val="none" w:sz="0" w:space="0" w:color="auto"/>
                        <w:bottom w:val="none" w:sz="0" w:space="0" w:color="auto"/>
                        <w:right w:val="none" w:sz="0" w:space="0" w:color="auto"/>
                      </w:divBdr>
                    </w:div>
                  </w:divsChild>
                </w:div>
                <w:div w:id="1124691909">
                  <w:marLeft w:val="0"/>
                  <w:marRight w:val="0"/>
                  <w:marTop w:val="0"/>
                  <w:marBottom w:val="0"/>
                  <w:divBdr>
                    <w:top w:val="none" w:sz="0" w:space="0" w:color="auto"/>
                    <w:left w:val="none" w:sz="0" w:space="0" w:color="auto"/>
                    <w:bottom w:val="none" w:sz="0" w:space="0" w:color="auto"/>
                    <w:right w:val="none" w:sz="0" w:space="0" w:color="auto"/>
                  </w:divBdr>
                  <w:divsChild>
                    <w:div w:id="445464075">
                      <w:marLeft w:val="0"/>
                      <w:marRight w:val="0"/>
                      <w:marTop w:val="0"/>
                      <w:marBottom w:val="0"/>
                      <w:divBdr>
                        <w:top w:val="none" w:sz="0" w:space="0" w:color="auto"/>
                        <w:left w:val="none" w:sz="0" w:space="0" w:color="auto"/>
                        <w:bottom w:val="none" w:sz="0" w:space="0" w:color="auto"/>
                        <w:right w:val="none" w:sz="0" w:space="0" w:color="auto"/>
                      </w:divBdr>
                    </w:div>
                  </w:divsChild>
                </w:div>
                <w:div w:id="1318729295">
                  <w:marLeft w:val="0"/>
                  <w:marRight w:val="0"/>
                  <w:marTop w:val="0"/>
                  <w:marBottom w:val="0"/>
                  <w:divBdr>
                    <w:top w:val="none" w:sz="0" w:space="0" w:color="auto"/>
                    <w:left w:val="none" w:sz="0" w:space="0" w:color="auto"/>
                    <w:bottom w:val="none" w:sz="0" w:space="0" w:color="auto"/>
                    <w:right w:val="none" w:sz="0" w:space="0" w:color="auto"/>
                  </w:divBdr>
                  <w:divsChild>
                    <w:div w:id="820006312">
                      <w:marLeft w:val="0"/>
                      <w:marRight w:val="0"/>
                      <w:marTop w:val="0"/>
                      <w:marBottom w:val="0"/>
                      <w:divBdr>
                        <w:top w:val="none" w:sz="0" w:space="0" w:color="auto"/>
                        <w:left w:val="none" w:sz="0" w:space="0" w:color="auto"/>
                        <w:bottom w:val="none" w:sz="0" w:space="0" w:color="auto"/>
                        <w:right w:val="none" w:sz="0" w:space="0" w:color="auto"/>
                      </w:divBdr>
                    </w:div>
                  </w:divsChild>
                </w:div>
                <w:div w:id="1372266249">
                  <w:marLeft w:val="0"/>
                  <w:marRight w:val="0"/>
                  <w:marTop w:val="0"/>
                  <w:marBottom w:val="0"/>
                  <w:divBdr>
                    <w:top w:val="none" w:sz="0" w:space="0" w:color="auto"/>
                    <w:left w:val="none" w:sz="0" w:space="0" w:color="auto"/>
                    <w:bottom w:val="none" w:sz="0" w:space="0" w:color="auto"/>
                    <w:right w:val="none" w:sz="0" w:space="0" w:color="auto"/>
                  </w:divBdr>
                  <w:divsChild>
                    <w:div w:id="1284337801">
                      <w:marLeft w:val="0"/>
                      <w:marRight w:val="0"/>
                      <w:marTop w:val="0"/>
                      <w:marBottom w:val="0"/>
                      <w:divBdr>
                        <w:top w:val="none" w:sz="0" w:space="0" w:color="auto"/>
                        <w:left w:val="none" w:sz="0" w:space="0" w:color="auto"/>
                        <w:bottom w:val="none" w:sz="0" w:space="0" w:color="auto"/>
                        <w:right w:val="none" w:sz="0" w:space="0" w:color="auto"/>
                      </w:divBdr>
                    </w:div>
                  </w:divsChild>
                </w:div>
                <w:div w:id="1377513139">
                  <w:marLeft w:val="0"/>
                  <w:marRight w:val="0"/>
                  <w:marTop w:val="0"/>
                  <w:marBottom w:val="0"/>
                  <w:divBdr>
                    <w:top w:val="none" w:sz="0" w:space="0" w:color="auto"/>
                    <w:left w:val="none" w:sz="0" w:space="0" w:color="auto"/>
                    <w:bottom w:val="none" w:sz="0" w:space="0" w:color="auto"/>
                    <w:right w:val="none" w:sz="0" w:space="0" w:color="auto"/>
                  </w:divBdr>
                  <w:divsChild>
                    <w:div w:id="2139716896">
                      <w:marLeft w:val="0"/>
                      <w:marRight w:val="0"/>
                      <w:marTop w:val="0"/>
                      <w:marBottom w:val="0"/>
                      <w:divBdr>
                        <w:top w:val="none" w:sz="0" w:space="0" w:color="auto"/>
                        <w:left w:val="none" w:sz="0" w:space="0" w:color="auto"/>
                        <w:bottom w:val="none" w:sz="0" w:space="0" w:color="auto"/>
                        <w:right w:val="none" w:sz="0" w:space="0" w:color="auto"/>
                      </w:divBdr>
                    </w:div>
                  </w:divsChild>
                </w:div>
                <w:div w:id="1534416049">
                  <w:marLeft w:val="0"/>
                  <w:marRight w:val="0"/>
                  <w:marTop w:val="0"/>
                  <w:marBottom w:val="0"/>
                  <w:divBdr>
                    <w:top w:val="none" w:sz="0" w:space="0" w:color="auto"/>
                    <w:left w:val="none" w:sz="0" w:space="0" w:color="auto"/>
                    <w:bottom w:val="none" w:sz="0" w:space="0" w:color="auto"/>
                    <w:right w:val="none" w:sz="0" w:space="0" w:color="auto"/>
                  </w:divBdr>
                  <w:divsChild>
                    <w:div w:id="2022008498">
                      <w:marLeft w:val="0"/>
                      <w:marRight w:val="0"/>
                      <w:marTop w:val="0"/>
                      <w:marBottom w:val="0"/>
                      <w:divBdr>
                        <w:top w:val="none" w:sz="0" w:space="0" w:color="auto"/>
                        <w:left w:val="none" w:sz="0" w:space="0" w:color="auto"/>
                        <w:bottom w:val="none" w:sz="0" w:space="0" w:color="auto"/>
                        <w:right w:val="none" w:sz="0" w:space="0" w:color="auto"/>
                      </w:divBdr>
                    </w:div>
                  </w:divsChild>
                </w:div>
                <w:div w:id="1561018022">
                  <w:marLeft w:val="0"/>
                  <w:marRight w:val="0"/>
                  <w:marTop w:val="0"/>
                  <w:marBottom w:val="0"/>
                  <w:divBdr>
                    <w:top w:val="none" w:sz="0" w:space="0" w:color="auto"/>
                    <w:left w:val="none" w:sz="0" w:space="0" w:color="auto"/>
                    <w:bottom w:val="none" w:sz="0" w:space="0" w:color="auto"/>
                    <w:right w:val="none" w:sz="0" w:space="0" w:color="auto"/>
                  </w:divBdr>
                  <w:divsChild>
                    <w:div w:id="1788311212">
                      <w:marLeft w:val="0"/>
                      <w:marRight w:val="0"/>
                      <w:marTop w:val="0"/>
                      <w:marBottom w:val="0"/>
                      <w:divBdr>
                        <w:top w:val="none" w:sz="0" w:space="0" w:color="auto"/>
                        <w:left w:val="none" w:sz="0" w:space="0" w:color="auto"/>
                        <w:bottom w:val="none" w:sz="0" w:space="0" w:color="auto"/>
                        <w:right w:val="none" w:sz="0" w:space="0" w:color="auto"/>
                      </w:divBdr>
                    </w:div>
                  </w:divsChild>
                </w:div>
                <w:div w:id="1575819344">
                  <w:marLeft w:val="0"/>
                  <w:marRight w:val="0"/>
                  <w:marTop w:val="0"/>
                  <w:marBottom w:val="0"/>
                  <w:divBdr>
                    <w:top w:val="none" w:sz="0" w:space="0" w:color="auto"/>
                    <w:left w:val="none" w:sz="0" w:space="0" w:color="auto"/>
                    <w:bottom w:val="none" w:sz="0" w:space="0" w:color="auto"/>
                    <w:right w:val="none" w:sz="0" w:space="0" w:color="auto"/>
                  </w:divBdr>
                  <w:divsChild>
                    <w:div w:id="594897543">
                      <w:marLeft w:val="0"/>
                      <w:marRight w:val="0"/>
                      <w:marTop w:val="0"/>
                      <w:marBottom w:val="0"/>
                      <w:divBdr>
                        <w:top w:val="none" w:sz="0" w:space="0" w:color="auto"/>
                        <w:left w:val="none" w:sz="0" w:space="0" w:color="auto"/>
                        <w:bottom w:val="none" w:sz="0" w:space="0" w:color="auto"/>
                        <w:right w:val="none" w:sz="0" w:space="0" w:color="auto"/>
                      </w:divBdr>
                    </w:div>
                  </w:divsChild>
                </w:div>
                <w:div w:id="1645937370">
                  <w:marLeft w:val="0"/>
                  <w:marRight w:val="0"/>
                  <w:marTop w:val="0"/>
                  <w:marBottom w:val="0"/>
                  <w:divBdr>
                    <w:top w:val="none" w:sz="0" w:space="0" w:color="auto"/>
                    <w:left w:val="none" w:sz="0" w:space="0" w:color="auto"/>
                    <w:bottom w:val="none" w:sz="0" w:space="0" w:color="auto"/>
                    <w:right w:val="none" w:sz="0" w:space="0" w:color="auto"/>
                  </w:divBdr>
                  <w:divsChild>
                    <w:div w:id="1574051244">
                      <w:marLeft w:val="0"/>
                      <w:marRight w:val="0"/>
                      <w:marTop w:val="0"/>
                      <w:marBottom w:val="0"/>
                      <w:divBdr>
                        <w:top w:val="none" w:sz="0" w:space="0" w:color="auto"/>
                        <w:left w:val="none" w:sz="0" w:space="0" w:color="auto"/>
                        <w:bottom w:val="none" w:sz="0" w:space="0" w:color="auto"/>
                        <w:right w:val="none" w:sz="0" w:space="0" w:color="auto"/>
                      </w:divBdr>
                    </w:div>
                  </w:divsChild>
                </w:div>
                <w:div w:id="1696881608">
                  <w:marLeft w:val="0"/>
                  <w:marRight w:val="0"/>
                  <w:marTop w:val="0"/>
                  <w:marBottom w:val="0"/>
                  <w:divBdr>
                    <w:top w:val="none" w:sz="0" w:space="0" w:color="auto"/>
                    <w:left w:val="none" w:sz="0" w:space="0" w:color="auto"/>
                    <w:bottom w:val="none" w:sz="0" w:space="0" w:color="auto"/>
                    <w:right w:val="none" w:sz="0" w:space="0" w:color="auto"/>
                  </w:divBdr>
                  <w:divsChild>
                    <w:div w:id="885221536">
                      <w:marLeft w:val="0"/>
                      <w:marRight w:val="0"/>
                      <w:marTop w:val="0"/>
                      <w:marBottom w:val="0"/>
                      <w:divBdr>
                        <w:top w:val="none" w:sz="0" w:space="0" w:color="auto"/>
                        <w:left w:val="none" w:sz="0" w:space="0" w:color="auto"/>
                        <w:bottom w:val="none" w:sz="0" w:space="0" w:color="auto"/>
                        <w:right w:val="none" w:sz="0" w:space="0" w:color="auto"/>
                      </w:divBdr>
                    </w:div>
                  </w:divsChild>
                </w:div>
                <w:div w:id="1697658751">
                  <w:marLeft w:val="0"/>
                  <w:marRight w:val="0"/>
                  <w:marTop w:val="0"/>
                  <w:marBottom w:val="0"/>
                  <w:divBdr>
                    <w:top w:val="none" w:sz="0" w:space="0" w:color="auto"/>
                    <w:left w:val="none" w:sz="0" w:space="0" w:color="auto"/>
                    <w:bottom w:val="none" w:sz="0" w:space="0" w:color="auto"/>
                    <w:right w:val="none" w:sz="0" w:space="0" w:color="auto"/>
                  </w:divBdr>
                  <w:divsChild>
                    <w:div w:id="2130123934">
                      <w:marLeft w:val="0"/>
                      <w:marRight w:val="0"/>
                      <w:marTop w:val="0"/>
                      <w:marBottom w:val="0"/>
                      <w:divBdr>
                        <w:top w:val="none" w:sz="0" w:space="0" w:color="auto"/>
                        <w:left w:val="none" w:sz="0" w:space="0" w:color="auto"/>
                        <w:bottom w:val="none" w:sz="0" w:space="0" w:color="auto"/>
                        <w:right w:val="none" w:sz="0" w:space="0" w:color="auto"/>
                      </w:divBdr>
                    </w:div>
                  </w:divsChild>
                </w:div>
                <w:div w:id="1754857975">
                  <w:marLeft w:val="0"/>
                  <w:marRight w:val="0"/>
                  <w:marTop w:val="0"/>
                  <w:marBottom w:val="0"/>
                  <w:divBdr>
                    <w:top w:val="none" w:sz="0" w:space="0" w:color="auto"/>
                    <w:left w:val="none" w:sz="0" w:space="0" w:color="auto"/>
                    <w:bottom w:val="none" w:sz="0" w:space="0" w:color="auto"/>
                    <w:right w:val="none" w:sz="0" w:space="0" w:color="auto"/>
                  </w:divBdr>
                  <w:divsChild>
                    <w:div w:id="1568757245">
                      <w:marLeft w:val="0"/>
                      <w:marRight w:val="0"/>
                      <w:marTop w:val="0"/>
                      <w:marBottom w:val="0"/>
                      <w:divBdr>
                        <w:top w:val="none" w:sz="0" w:space="0" w:color="auto"/>
                        <w:left w:val="none" w:sz="0" w:space="0" w:color="auto"/>
                        <w:bottom w:val="none" w:sz="0" w:space="0" w:color="auto"/>
                        <w:right w:val="none" w:sz="0" w:space="0" w:color="auto"/>
                      </w:divBdr>
                    </w:div>
                  </w:divsChild>
                </w:div>
                <w:div w:id="1765346396">
                  <w:marLeft w:val="0"/>
                  <w:marRight w:val="0"/>
                  <w:marTop w:val="0"/>
                  <w:marBottom w:val="0"/>
                  <w:divBdr>
                    <w:top w:val="none" w:sz="0" w:space="0" w:color="auto"/>
                    <w:left w:val="none" w:sz="0" w:space="0" w:color="auto"/>
                    <w:bottom w:val="none" w:sz="0" w:space="0" w:color="auto"/>
                    <w:right w:val="none" w:sz="0" w:space="0" w:color="auto"/>
                  </w:divBdr>
                  <w:divsChild>
                    <w:div w:id="400445632">
                      <w:marLeft w:val="0"/>
                      <w:marRight w:val="0"/>
                      <w:marTop w:val="0"/>
                      <w:marBottom w:val="0"/>
                      <w:divBdr>
                        <w:top w:val="none" w:sz="0" w:space="0" w:color="auto"/>
                        <w:left w:val="none" w:sz="0" w:space="0" w:color="auto"/>
                        <w:bottom w:val="none" w:sz="0" w:space="0" w:color="auto"/>
                        <w:right w:val="none" w:sz="0" w:space="0" w:color="auto"/>
                      </w:divBdr>
                    </w:div>
                  </w:divsChild>
                </w:div>
                <w:div w:id="1836459660">
                  <w:marLeft w:val="0"/>
                  <w:marRight w:val="0"/>
                  <w:marTop w:val="0"/>
                  <w:marBottom w:val="0"/>
                  <w:divBdr>
                    <w:top w:val="none" w:sz="0" w:space="0" w:color="auto"/>
                    <w:left w:val="none" w:sz="0" w:space="0" w:color="auto"/>
                    <w:bottom w:val="none" w:sz="0" w:space="0" w:color="auto"/>
                    <w:right w:val="none" w:sz="0" w:space="0" w:color="auto"/>
                  </w:divBdr>
                  <w:divsChild>
                    <w:div w:id="914820877">
                      <w:marLeft w:val="0"/>
                      <w:marRight w:val="0"/>
                      <w:marTop w:val="0"/>
                      <w:marBottom w:val="0"/>
                      <w:divBdr>
                        <w:top w:val="none" w:sz="0" w:space="0" w:color="auto"/>
                        <w:left w:val="none" w:sz="0" w:space="0" w:color="auto"/>
                        <w:bottom w:val="none" w:sz="0" w:space="0" w:color="auto"/>
                        <w:right w:val="none" w:sz="0" w:space="0" w:color="auto"/>
                      </w:divBdr>
                    </w:div>
                  </w:divsChild>
                </w:div>
                <w:div w:id="1862476777">
                  <w:marLeft w:val="0"/>
                  <w:marRight w:val="0"/>
                  <w:marTop w:val="0"/>
                  <w:marBottom w:val="0"/>
                  <w:divBdr>
                    <w:top w:val="none" w:sz="0" w:space="0" w:color="auto"/>
                    <w:left w:val="none" w:sz="0" w:space="0" w:color="auto"/>
                    <w:bottom w:val="none" w:sz="0" w:space="0" w:color="auto"/>
                    <w:right w:val="none" w:sz="0" w:space="0" w:color="auto"/>
                  </w:divBdr>
                  <w:divsChild>
                    <w:div w:id="489102007">
                      <w:marLeft w:val="0"/>
                      <w:marRight w:val="0"/>
                      <w:marTop w:val="0"/>
                      <w:marBottom w:val="0"/>
                      <w:divBdr>
                        <w:top w:val="none" w:sz="0" w:space="0" w:color="auto"/>
                        <w:left w:val="none" w:sz="0" w:space="0" w:color="auto"/>
                        <w:bottom w:val="none" w:sz="0" w:space="0" w:color="auto"/>
                        <w:right w:val="none" w:sz="0" w:space="0" w:color="auto"/>
                      </w:divBdr>
                    </w:div>
                  </w:divsChild>
                </w:div>
                <w:div w:id="1889342788">
                  <w:marLeft w:val="0"/>
                  <w:marRight w:val="0"/>
                  <w:marTop w:val="0"/>
                  <w:marBottom w:val="0"/>
                  <w:divBdr>
                    <w:top w:val="none" w:sz="0" w:space="0" w:color="auto"/>
                    <w:left w:val="none" w:sz="0" w:space="0" w:color="auto"/>
                    <w:bottom w:val="none" w:sz="0" w:space="0" w:color="auto"/>
                    <w:right w:val="none" w:sz="0" w:space="0" w:color="auto"/>
                  </w:divBdr>
                  <w:divsChild>
                    <w:div w:id="512768310">
                      <w:marLeft w:val="0"/>
                      <w:marRight w:val="0"/>
                      <w:marTop w:val="0"/>
                      <w:marBottom w:val="0"/>
                      <w:divBdr>
                        <w:top w:val="none" w:sz="0" w:space="0" w:color="auto"/>
                        <w:left w:val="none" w:sz="0" w:space="0" w:color="auto"/>
                        <w:bottom w:val="none" w:sz="0" w:space="0" w:color="auto"/>
                        <w:right w:val="none" w:sz="0" w:space="0" w:color="auto"/>
                      </w:divBdr>
                    </w:div>
                  </w:divsChild>
                </w:div>
                <w:div w:id="1920746637">
                  <w:marLeft w:val="0"/>
                  <w:marRight w:val="0"/>
                  <w:marTop w:val="0"/>
                  <w:marBottom w:val="0"/>
                  <w:divBdr>
                    <w:top w:val="none" w:sz="0" w:space="0" w:color="auto"/>
                    <w:left w:val="none" w:sz="0" w:space="0" w:color="auto"/>
                    <w:bottom w:val="none" w:sz="0" w:space="0" w:color="auto"/>
                    <w:right w:val="none" w:sz="0" w:space="0" w:color="auto"/>
                  </w:divBdr>
                  <w:divsChild>
                    <w:div w:id="88028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96836">
          <w:marLeft w:val="0"/>
          <w:marRight w:val="0"/>
          <w:marTop w:val="0"/>
          <w:marBottom w:val="0"/>
          <w:divBdr>
            <w:top w:val="none" w:sz="0" w:space="0" w:color="auto"/>
            <w:left w:val="none" w:sz="0" w:space="0" w:color="auto"/>
            <w:bottom w:val="none" w:sz="0" w:space="0" w:color="auto"/>
            <w:right w:val="none" w:sz="0" w:space="0" w:color="auto"/>
          </w:divBdr>
        </w:div>
        <w:div w:id="1886798297">
          <w:marLeft w:val="0"/>
          <w:marRight w:val="0"/>
          <w:marTop w:val="0"/>
          <w:marBottom w:val="0"/>
          <w:divBdr>
            <w:top w:val="none" w:sz="0" w:space="0" w:color="auto"/>
            <w:left w:val="none" w:sz="0" w:space="0" w:color="auto"/>
            <w:bottom w:val="none" w:sz="0" w:space="0" w:color="auto"/>
            <w:right w:val="none" w:sz="0" w:space="0" w:color="auto"/>
          </w:divBdr>
        </w:div>
        <w:div w:id="1956591272">
          <w:marLeft w:val="0"/>
          <w:marRight w:val="0"/>
          <w:marTop w:val="0"/>
          <w:marBottom w:val="0"/>
          <w:divBdr>
            <w:top w:val="none" w:sz="0" w:space="0" w:color="auto"/>
            <w:left w:val="none" w:sz="0" w:space="0" w:color="auto"/>
            <w:bottom w:val="none" w:sz="0" w:space="0" w:color="auto"/>
            <w:right w:val="none" w:sz="0" w:space="0" w:color="auto"/>
          </w:divBdr>
        </w:div>
        <w:div w:id="1997224754">
          <w:marLeft w:val="0"/>
          <w:marRight w:val="0"/>
          <w:marTop w:val="0"/>
          <w:marBottom w:val="0"/>
          <w:divBdr>
            <w:top w:val="none" w:sz="0" w:space="0" w:color="auto"/>
            <w:left w:val="none" w:sz="0" w:space="0" w:color="auto"/>
            <w:bottom w:val="none" w:sz="0" w:space="0" w:color="auto"/>
            <w:right w:val="none" w:sz="0" w:space="0" w:color="auto"/>
          </w:divBdr>
        </w:div>
      </w:divsChild>
    </w:div>
    <w:div w:id="2083403932">
      <w:bodyDiv w:val="1"/>
      <w:marLeft w:val="0"/>
      <w:marRight w:val="0"/>
      <w:marTop w:val="0"/>
      <w:marBottom w:val="0"/>
      <w:divBdr>
        <w:top w:val="none" w:sz="0" w:space="0" w:color="auto"/>
        <w:left w:val="none" w:sz="0" w:space="0" w:color="auto"/>
        <w:bottom w:val="none" w:sz="0" w:space="0" w:color="auto"/>
        <w:right w:val="none" w:sz="0" w:space="0" w:color="auto"/>
      </w:divBdr>
      <w:divsChild>
        <w:div w:id="2015768346">
          <w:marLeft w:val="0"/>
          <w:marRight w:val="0"/>
          <w:marTop w:val="0"/>
          <w:marBottom w:val="0"/>
          <w:divBdr>
            <w:top w:val="none" w:sz="0" w:space="0" w:color="auto"/>
            <w:left w:val="none" w:sz="0" w:space="0" w:color="auto"/>
            <w:bottom w:val="none" w:sz="0" w:space="0" w:color="auto"/>
            <w:right w:val="none" w:sz="0" w:space="0" w:color="auto"/>
          </w:divBdr>
          <w:divsChild>
            <w:div w:id="377633419">
              <w:marLeft w:val="0"/>
              <w:marRight w:val="0"/>
              <w:marTop w:val="0"/>
              <w:marBottom w:val="0"/>
              <w:divBdr>
                <w:top w:val="none" w:sz="0" w:space="0" w:color="auto"/>
                <w:left w:val="none" w:sz="0" w:space="0" w:color="auto"/>
                <w:bottom w:val="none" w:sz="0" w:space="0" w:color="auto"/>
                <w:right w:val="none" w:sz="0" w:space="0" w:color="auto"/>
              </w:divBdr>
              <w:divsChild>
                <w:div w:id="721292179">
                  <w:marLeft w:val="0"/>
                  <w:marRight w:val="0"/>
                  <w:marTop w:val="0"/>
                  <w:marBottom w:val="0"/>
                  <w:divBdr>
                    <w:top w:val="none" w:sz="0" w:space="0" w:color="auto"/>
                    <w:left w:val="none" w:sz="0" w:space="0" w:color="auto"/>
                    <w:bottom w:val="none" w:sz="0" w:space="0" w:color="auto"/>
                    <w:right w:val="none" w:sz="0" w:space="0" w:color="auto"/>
                  </w:divBdr>
                  <w:divsChild>
                    <w:div w:id="640380296">
                      <w:marLeft w:val="0"/>
                      <w:marRight w:val="0"/>
                      <w:marTop w:val="0"/>
                      <w:marBottom w:val="0"/>
                      <w:divBdr>
                        <w:top w:val="none" w:sz="0" w:space="0" w:color="auto"/>
                        <w:left w:val="none" w:sz="0" w:space="0" w:color="auto"/>
                        <w:bottom w:val="none" w:sz="0" w:space="0" w:color="auto"/>
                        <w:right w:val="none" w:sz="0" w:space="0" w:color="auto"/>
                      </w:divBdr>
                      <w:divsChild>
                        <w:div w:id="1243225077">
                          <w:marLeft w:val="0"/>
                          <w:marRight w:val="0"/>
                          <w:marTop w:val="0"/>
                          <w:marBottom w:val="0"/>
                          <w:divBdr>
                            <w:top w:val="none" w:sz="0" w:space="0" w:color="auto"/>
                            <w:left w:val="none" w:sz="0" w:space="0" w:color="auto"/>
                            <w:bottom w:val="none" w:sz="0" w:space="0" w:color="auto"/>
                            <w:right w:val="none" w:sz="0" w:space="0" w:color="auto"/>
                          </w:divBdr>
                          <w:divsChild>
                            <w:div w:id="154864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3" Type="http://schemas.openxmlformats.org/officeDocument/2006/relationships/theme" Target="theme/theme1.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fficeCountry xmlns="d9cf0e28-81d2-4dc7-8b10-820d80ed680d">B0542 - Bosnia &amp; Herzegovina- Sarajevo</OfficeCountry>
    <DocumentStatus xmlns="d9cf0e28-81d2-4dc7-8b10-820d80ed680d">Approved</DocumentStatus>
    <DocCoverageEndDate xmlns="d9cf0e28-81d2-4dc7-8b10-820d80ed680d">2025-12-31T05:00:00+00:00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Annual narrative report</FileNameDescription>
    <ProjectNumber xmlns="d9cf0e28-81d2-4dc7-8b10-820d80ed680d">01004651</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UNDP-BIH</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2025-06-01T00:00:00+00:00</DocCoverageStartDate>
    <FileClassificationMode xmlns="d9cf0e28-81d2-4dc7-8b10-820d80ed680d">Public</FileClassificationMode>
    <OutputNumber xmlns="d9cf0e28-81d2-4dc7-8b10-820d80ed68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F40967-FD63-472D-A899-01CFFCD70A1F}">
  <ds:schemaRefs>
    <ds:schemaRef ds:uri="http://schemas.microsoft.com/office/2006/metadata/properties"/>
    <ds:schemaRef ds:uri="http://schemas.microsoft.com/office/infopath/2007/PartnerControls"/>
    <ds:schemaRef ds:uri="de777af5-75c5-4059-8842-b3ca2d118c77"/>
    <ds:schemaRef ds:uri="8c7cc70e-8a22-43cc-a5e4-51531a75635e"/>
  </ds:schemaRefs>
</ds:datastoreItem>
</file>

<file path=customXml/itemProps2.xml><?xml version="1.0" encoding="utf-8"?>
<ds:datastoreItem xmlns:ds="http://schemas.openxmlformats.org/officeDocument/2006/customXml" ds:itemID="{B33D9C13-40A7-43ED-A141-C54D49F082B4}"/>
</file>

<file path=customXml/itemProps3.xml><?xml version="1.0" encoding="utf-8"?>
<ds:datastoreItem xmlns:ds="http://schemas.openxmlformats.org/officeDocument/2006/customXml" ds:itemID="{A1D650F4-9A1D-4F3D-A5F8-72F5458CA46E}">
  <ds:schemaRefs>
    <ds:schemaRef ds:uri="http://schemas.openxmlformats.org/officeDocument/2006/bibliography"/>
  </ds:schemaRefs>
</ds:datastoreItem>
</file>

<file path=customXml/itemProps4.xml><?xml version="1.0" encoding="utf-8"?>
<ds:datastoreItem xmlns:ds="http://schemas.openxmlformats.org/officeDocument/2006/customXml" ds:itemID="{CFAE66C5-BD87-4DC7-939F-7215882117DF}">
  <ds:schemaRefs>
    <ds:schemaRef ds:uri="http://schemas.microsoft.com/sharepoint/v3/contenttype/forms"/>
  </ds:schemaRefs>
</ds:datastoreItem>
</file>

<file path=customXml/itemProps5.xml><?xml version="1.0" encoding="utf-8"?>
<ds:datastoreItem xmlns:ds="http://schemas.openxmlformats.org/officeDocument/2006/customXml" ds:itemID="{146B7BA2-896C-469E-8309-BE2985EEBCF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5442</Words>
  <Characters>31022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UNDP</Company>
  <LinksUpToDate>false</LinksUpToDate>
  <CharactersWithSpaces>36392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narrative report</dc:title>
  <dc:subject/>
  <dc:creator>Zlatko Abaspahic</dc:creator>
  <cp:keywords/>
  <dc:description/>
  <cp:lastModifiedBy>Nasir Nalic</cp:lastModifiedBy>
  <cp:revision>75</cp:revision>
  <cp:lastPrinted>2026-01-12T08:58:00Z</cp:lastPrinted>
  <dcterms:created xsi:type="dcterms:W3CDTF">2026-03-26T07:12:00Z</dcterms:created>
  <dcterms:modified xsi:type="dcterms:W3CDTF">2026-03-26T08:32:00Z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_dlc_DocIdItemGuid">
    <vt:lpwstr>997a120d-7e5d-4ba1-8964-f4bdd869276c</vt:lpwstr>
  </property>
  <property fmtid="{D5CDD505-2E9C-101B-9397-08002B2CF9AE}" pid="4" name="MediaServiceImageTags">
    <vt:lpwstr/>
  </property>
  <property fmtid="{D5CDD505-2E9C-101B-9397-08002B2CF9AE}" pid="5" name="GrammarlyDocumentId">
    <vt:lpwstr>f7a67844181229cf3615de28b5078694863c6ff44a920dceee1efbee52ab48c5</vt:lpwstr>
  </property>
</Properties>
</file>